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i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Dofinasowania inwestycji z Rządowego Programu Odbudowy Zabytków  nr Edycja2RPOZ/2023/533/</w:t>
      </w:r>
      <w:r>
        <w:rPr>
          <w:rFonts w:ascii="Arial" w:eastAsia="Arial" w:hAnsi="Arial" w:cs="Arial"/>
          <w:i/>
          <w:sz w:val="24"/>
          <w:szCs w:val="24"/>
        </w:rPr>
        <w:t>Polski</w:t>
      </w:r>
      <w:r>
        <w:rPr>
          <w:rFonts w:ascii="Arial" w:eastAsia="Arial" w:hAnsi="Arial" w:cs="Arial"/>
          <w:i/>
          <w:color w:val="000000"/>
          <w:sz w:val="24"/>
          <w:szCs w:val="24"/>
        </w:rPr>
        <w:t xml:space="preserve"> Lad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7"/>
        <w:jc w:val="center"/>
        <w:rPr>
          <w:rFonts w:ascii="Arial" w:eastAsia="Arial" w:hAnsi="Arial" w:cs="Arial"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noProof/>
          <w:color w:val="000000"/>
          <w:sz w:val="24"/>
          <w:szCs w:val="24"/>
        </w:rPr>
        <w:drawing>
          <wp:inline distT="0" distB="0" distL="0" distR="0">
            <wp:extent cx="4761230" cy="213360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61230" cy="213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ind w:left="5447" w:right="544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ZAPROSZENIE DO SKŁADANIA OFERT      ZAPYTANIE OFERTOWE NR 1/2024</w:t>
      </w:r>
    </w:p>
    <w:p w:rsidR="00871939" w:rsidRDefault="00185CEA">
      <w:pPr>
        <w:spacing w:before="1"/>
        <w:ind w:left="5447" w:right="5445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z dnia  27.09.2024 r.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871939" w:rsidRDefault="00185CEA">
      <w:pPr>
        <w:pStyle w:val="Nagwek1"/>
        <w:spacing w:before="56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TYTUŁ ZAMÓWIENIA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871939" w:rsidRDefault="00185CEA">
      <w:pPr>
        <w:ind w:left="115" w:right="11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Wykonanie </w:t>
      </w:r>
      <w:r>
        <w:rPr>
          <w:rFonts w:ascii="Arial" w:eastAsia="Arial" w:hAnsi="Arial" w:cs="Arial"/>
          <w:b/>
          <w:sz w:val="24"/>
          <w:szCs w:val="24"/>
        </w:rPr>
        <w:t xml:space="preserve">ROBÓT BUDOWALNYCH </w:t>
      </w:r>
      <w:r>
        <w:rPr>
          <w:rFonts w:ascii="Arial" w:eastAsia="Arial" w:hAnsi="Arial" w:cs="Arial"/>
          <w:sz w:val="24"/>
          <w:szCs w:val="24"/>
        </w:rPr>
        <w:t xml:space="preserve">; </w:t>
      </w:r>
    </w:p>
    <w:p w:rsidR="00871939" w:rsidRDefault="00185CEA">
      <w:pPr>
        <w:ind w:left="115" w:right="11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Wymiana stolarki okiennej i lukarn w Pałacu  w CHICHACH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before="1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ZAMAWIAJĄCY</w:t>
      </w:r>
    </w:p>
    <w:p w:rsidR="00871939" w:rsidRDefault="00871939">
      <w:pPr>
        <w:pStyle w:val="Nagwek1"/>
        <w:spacing w:before="1"/>
        <w:ind w:firstLine="115"/>
        <w:rPr>
          <w:rFonts w:ascii="Arial" w:eastAsia="Arial" w:hAnsi="Arial" w:cs="Arial"/>
          <w:sz w:val="24"/>
          <w:szCs w:val="24"/>
        </w:rPr>
      </w:pP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ind w:left="115" w:right="950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Marcin Dobrowolski - Pałac Chichy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ind w:left="115" w:right="950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Chichy 37E  67-320 Małomice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ind w:left="115" w:right="950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</w:p>
    <w:p w:rsidR="00871939" w:rsidRDefault="00185CEA">
      <w:pPr>
        <w:pStyle w:val="Nagwek1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OSOBA DO KONTAKTU W SPRAWIE OGŁOSZENIA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/>
        <w:ind w:left="115" w:right="1080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p. Marcin Dobrowolski  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/>
        <w:ind w:right="1080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Tel. +48 506 741 067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email: </w:t>
      </w:r>
      <w:r>
        <w:rPr>
          <w:rFonts w:ascii="Arial" w:eastAsia="Arial" w:hAnsi="Arial" w:cs="Arial"/>
          <w:color w:val="0462C1"/>
          <w:sz w:val="24"/>
          <w:szCs w:val="24"/>
          <w:u w:val="single"/>
        </w:rPr>
        <w:t>marcin@palacchichy.pl</w:t>
      </w:r>
    </w:p>
    <w:p w:rsidR="00871939" w:rsidRDefault="00185CEA">
      <w:pPr>
        <w:ind w:right="112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1. Celem zamówienia jest wykonanie robót budowlanych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ind w:left="475" w:right="112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2. Inwestor: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Marcin Dobrowolski Pałac Chichy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Chichy 37E,  67-320 Małomice</w:t>
      </w:r>
    </w:p>
    <w:p w:rsidR="00871939" w:rsidRDefault="00185CEA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3. Program użytkowy:</w:t>
      </w:r>
    </w:p>
    <w:p w:rsidR="00871939" w:rsidRDefault="00185CEA">
      <w:pPr>
        <w:tabs>
          <w:tab w:val="left" w:pos="170"/>
        </w:tabs>
        <w:spacing w:line="360" w:lineRule="auto"/>
        <w:rPr>
          <w:rFonts w:ascii="Arial" w:eastAsia="Arial" w:hAnsi="Arial" w:cs="Arial"/>
          <w:sz w:val="24"/>
          <w:szCs w:val="24"/>
        </w:rPr>
      </w:pPr>
      <w:bookmarkStart w:id="1" w:name="_GoBack"/>
      <w:r>
        <w:rPr>
          <w:rFonts w:ascii="Arial" w:eastAsia="Arial" w:hAnsi="Arial" w:cs="Arial"/>
          <w:sz w:val="24"/>
          <w:szCs w:val="24"/>
        </w:rPr>
        <w:t>Wymiana stolarki okiennej i lukarn w Pałacu  w CHICHACH</w:t>
      </w:r>
      <w:bookmarkEnd w:id="1"/>
    </w:p>
    <w:p w:rsidR="00871939" w:rsidRDefault="00185CEA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4. Charakterystyka ogólna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5. Układ przestrzenny oraz forma architektoniczna obiektu budowlanego Budynek pałacu wzniesiony jest pomiędzy parkiem a stawem w północnej części działki 210/3. Budynek wykonano jako trzykondygnacyjny (1 kondygnacja podziemna, 2 nadziemne), z poddaszem. Pa</w:t>
      </w:r>
      <w:r>
        <w:rPr>
          <w:rFonts w:ascii="Arial" w:eastAsia="Arial" w:hAnsi="Arial" w:cs="Arial"/>
          <w:sz w:val="24"/>
          <w:szCs w:val="24"/>
        </w:rPr>
        <w:t>łac podpiwniczony jest w całości. Na poziom parteru, do głównych drzwi wejściowych w elewacji frontowej, prowadzi rampa. Z poziomu terenu, za pomocą 3 wejść, zlokalizowanych w innych elewacjach, można dostać się do piwnic budynku.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Pałac zbudowano z cegły. </w:t>
      </w:r>
      <w:r>
        <w:rPr>
          <w:rFonts w:ascii="Arial" w:eastAsia="Arial" w:hAnsi="Arial" w:cs="Arial"/>
          <w:sz w:val="24"/>
          <w:szCs w:val="24"/>
        </w:rPr>
        <w:t>Wszystkie elewacje budynku są otynkowane. Sklepienia występujące w poziomie piwnicy wykonane są z cegły, stropy oraz więźba dachowa są o konstrukcji drewnianej.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Dach kryty jest dachówką cementową BRAAS (pierwotnie była to dachówka karpiówka ułożona w łuskę</w:t>
      </w:r>
      <w:r>
        <w:rPr>
          <w:rFonts w:ascii="Arial" w:eastAsia="Arial" w:hAnsi="Arial" w:cs="Arial"/>
          <w:sz w:val="24"/>
          <w:szCs w:val="24"/>
        </w:rPr>
        <w:t>). Pierwotnie w połaci dachu oprócz lukarn występowały wole oka (obecnie ich brak). W stanie istniejącym drewniana stolarka okienna jest wtórna, posiada różne podziały oraz kolorystykę. Część z występujących pierwotnie otworów okiennych została pomniejszon</w:t>
      </w:r>
      <w:r>
        <w:rPr>
          <w:rFonts w:ascii="Arial" w:eastAsia="Arial" w:hAnsi="Arial" w:cs="Arial"/>
          <w:sz w:val="24"/>
          <w:szCs w:val="24"/>
        </w:rPr>
        <w:t>a lub zamurowana.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Korpus pałacu wzniesiono na planie prostokąta z przyległą do tylnej elewacji przybudówką (od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strony północnej). Przybudówka i korpus są równej wysokości. Korpus kryty jest dachem mansardowym, przybudówka dachem dwuspadowym z naczółkiem.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ozplanowanie korpusu jest dwutraktowe z sienią na osi, z klatka schodową drewnianą w jej głębi (w ramach 3 poziomach). Rozplanowanie przybudówki w poziomie piwnicy, od zachodu dwutraktowe, od wschodu jednoprzestrzenne pomieszczenie. W przyziemiu i na piętr</w:t>
      </w:r>
      <w:r>
        <w:rPr>
          <w:rFonts w:ascii="Arial" w:eastAsia="Arial" w:hAnsi="Arial" w:cs="Arial"/>
          <w:sz w:val="24"/>
          <w:szCs w:val="24"/>
        </w:rPr>
        <w:t>ze występuje dwutraktowy układ w części wschodniej i jedno pomieszczenie od strony zachodniej. Obecnie w ramach pomieszczeń korpusu i przybudówki wykonano nowe podziały.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Zwrócona na południe fasada pałacu o 9 osiach poprzedzona jest rampą. Fasadę w jej śro</w:t>
      </w:r>
      <w:r>
        <w:rPr>
          <w:rFonts w:ascii="Arial" w:eastAsia="Arial" w:hAnsi="Arial" w:cs="Arial"/>
          <w:sz w:val="24"/>
          <w:szCs w:val="24"/>
        </w:rPr>
        <w:t>dku akcentuje 3 osiowy ryzalit pozorny zwieńczony trójkątnym naczółkiem. Na jego osi znajduje się główne wejście z prostym naczółkiem i obramieniem, flankowane 2 wąskimi oknami z obramieniem i odcinkowym naczółkiem. Na piętrze w osi wejścia znajduje się sz</w:t>
      </w:r>
      <w:r>
        <w:rPr>
          <w:rFonts w:ascii="Arial" w:eastAsia="Arial" w:hAnsi="Arial" w:cs="Arial"/>
          <w:sz w:val="24"/>
          <w:szCs w:val="24"/>
        </w:rPr>
        <w:t>erokie okno, przesklepione odcinkowo, zwieńczone profilowanym nadokiennikiem, również flankowane 2 wąskimi oknami z obramieniami. Elewacje boczne korpusu (wschodnia oraz zachodnia) są 4 osiowe. Elewacja tylna korpusu (północna) posiada 4 osie oraz niesymet</w:t>
      </w:r>
      <w:r>
        <w:rPr>
          <w:rFonts w:ascii="Arial" w:eastAsia="Arial" w:hAnsi="Arial" w:cs="Arial"/>
          <w:sz w:val="24"/>
          <w:szCs w:val="24"/>
        </w:rPr>
        <w:t>rycznie dostawioną przybudówkę. Elewacje boczne przybudówki (wschodnia oraz zachodnia) są 3 osiowe, a tylna (północna) 5 osiowa, opracowane podobnie jak w korpusie. W poziomie poddasza, w elewacji tylnej przybudówki występują mniejsze okna w 3 osiach. W po</w:t>
      </w:r>
      <w:r>
        <w:rPr>
          <w:rFonts w:ascii="Arial" w:eastAsia="Arial" w:hAnsi="Arial" w:cs="Arial"/>
          <w:sz w:val="24"/>
          <w:szCs w:val="24"/>
        </w:rPr>
        <w:t xml:space="preserve">zostałych elewacjach korpusu i przybudówki w poziomie poddasza występują lukarny z dachem dwuspadowym. Naroża wszystkich elewacji oraz partie cokołowe są </w:t>
      </w:r>
      <w:proofErr w:type="spellStart"/>
      <w:r>
        <w:rPr>
          <w:rFonts w:ascii="Arial" w:eastAsia="Arial" w:hAnsi="Arial" w:cs="Arial"/>
          <w:sz w:val="24"/>
          <w:szCs w:val="24"/>
        </w:rPr>
        <w:t>boniowane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. W elewacjach występuje prosty gzyms </w:t>
      </w:r>
      <w:proofErr w:type="spellStart"/>
      <w:r>
        <w:rPr>
          <w:rFonts w:ascii="Arial" w:eastAsia="Arial" w:hAnsi="Arial" w:cs="Arial"/>
          <w:sz w:val="24"/>
          <w:szCs w:val="24"/>
        </w:rPr>
        <w:t>międzykondygnacyjny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oraz profilowany gzyms wieńczący.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kna w partii cokołowej (piwnicy) przesklepione są odcinkowo i zwieńczone kluczem, w wyższych kondygnacjach zamknięte prosto. Okna przyziemia oraz blendy są podkreślone prostym nadokiennikiem. Pod oknami i blendami przyziemia występuje ciągła linia gzymsu.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 elewacji wschodniej, w poziomie parteru oraz piętra brak stolarki okiennej, występują blendy, a poniżej gzymsu pod blendami w poziomie parteru znajdują się obwiedzione gładką ramą, prostokątne wnęki. W poziomie piętra otwory okienne i blendy podkreślone </w:t>
      </w:r>
      <w:r>
        <w:rPr>
          <w:rFonts w:ascii="Arial" w:eastAsia="Arial" w:hAnsi="Arial" w:cs="Arial"/>
          <w:sz w:val="24"/>
          <w:szCs w:val="24"/>
        </w:rPr>
        <w:t xml:space="preserve">są profilowanymi parapetami. W oknach elewacji frontowej wykonano obramienia, w poziomie piętra ze zwornikiem. W pozostałych </w:t>
      </w:r>
      <w:r>
        <w:rPr>
          <w:rFonts w:ascii="Arial" w:eastAsia="Arial" w:hAnsi="Arial" w:cs="Arial"/>
          <w:sz w:val="24"/>
          <w:szCs w:val="24"/>
        </w:rPr>
        <w:lastRenderedPageBreak/>
        <w:t>elewacjach brak obramień okiennych.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871939" w:rsidRDefault="00185CEA">
      <w:pPr>
        <w:shd w:val="clear" w:color="auto" w:fill="FFFFFF"/>
        <w:spacing w:line="360" w:lineRule="auto"/>
        <w:rPr>
          <w:rFonts w:ascii="Arial" w:eastAsia="Arial" w:hAnsi="Arial" w:cs="Arial"/>
          <w:color w:val="202122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Pałac jest wpisany do gminnego rejestru zabytków pod nr rej. 622</w:t>
      </w:r>
    </w:p>
    <w:p w:rsidR="00871939" w:rsidRDefault="00871939">
      <w:pPr>
        <w:spacing w:line="360" w:lineRule="auto"/>
        <w:rPr>
          <w:rFonts w:ascii="Arial" w:eastAsia="Arial" w:hAnsi="Arial" w:cs="Arial"/>
          <w:b/>
          <w:sz w:val="24"/>
          <w:szCs w:val="24"/>
        </w:rPr>
      </w:pPr>
    </w:p>
    <w:p w:rsidR="00871939" w:rsidRDefault="00185CEA">
      <w:pPr>
        <w:spacing w:after="60"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5. Stan zachowania i przyczy</w:t>
      </w:r>
      <w:r>
        <w:rPr>
          <w:rFonts w:ascii="Arial" w:eastAsia="Arial" w:hAnsi="Arial" w:cs="Arial"/>
          <w:b/>
          <w:sz w:val="24"/>
          <w:szCs w:val="24"/>
        </w:rPr>
        <w:t>ny zniszczeń: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Analizę historyczną i ikonograficzną budynku pałacowego przeprowadzono na podstawie danych zawartych w kartach obiektu zabytkowego. Zielona karta obiektu zabytkowego została sporządzona w 1964 r., natomiast biała karta obiektu zabytkowego została sporządzo</w:t>
      </w:r>
      <w:r>
        <w:rPr>
          <w:rFonts w:ascii="Arial" w:eastAsia="Arial" w:hAnsi="Arial" w:cs="Arial"/>
          <w:sz w:val="24"/>
          <w:szCs w:val="24"/>
        </w:rPr>
        <w:t xml:space="preserve">na w 1987 r. przez Różę </w:t>
      </w:r>
      <w:proofErr w:type="spellStart"/>
      <w:r>
        <w:rPr>
          <w:rFonts w:ascii="Arial" w:eastAsia="Arial" w:hAnsi="Arial" w:cs="Arial"/>
          <w:sz w:val="24"/>
          <w:szCs w:val="24"/>
        </w:rPr>
        <w:t>Kąsinowską</w:t>
      </w:r>
      <w:proofErr w:type="spellEnd"/>
      <w:r>
        <w:rPr>
          <w:rFonts w:ascii="Arial" w:eastAsia="Arial" w:hAnsi="Arial" w:cs="Arial"/>
          <w:sz w:val="24"/>
          <w:szCs w:val="24"/>
        </w:rPr>
        <w:t>. Według danych zawartych w dokumentacji pałac w Chichach został wzniesiony w I połowie XVIII w jako barokowy. Około 1840 roku przeprowadzono gruntowny remont pałacu wraz z nadbudową wyższych kondygnacji przybudówki od str</w:t>
      </w:r>
      <w:r>
        <w:rPr>
          <w:rFonts w:ascii="Arial" w:eastAsia="Arial" w:hAnsi="Arial" w:cs="Arial"/>
          <w:sz w:val="24"/>
          <w:szCs w:val="24"/>
        </w:rPr>
        <w:t>ony północnej.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 roku 1906 przeprowadzono gruntowny remont pałacu: powiększono otwory okienne w poziomie parteru zmieniając w części architektoniczny wystrój wnętrza. W roku 1957 i 1983 przeprowadzono powojenne remonty usuwając prawie całkowicie architekto</w:t>
      </w:r>
      <w:r>
        <w:rPr>
          <w:rFonts w:ascii="Arial" w:eastAsia="Arial" w:hAnsi="Arial" w:cs="Arial"/>
          <w:sz w:val="24"/>
          <w:szCs w:val="24"/>
        </w:rPr>
        <w:t>niczny wystrój elewacji, niszcząc m.in. opaski okienne, boniowanie partii cokołowej. W ostatnim czasie, częściowo na podstawie projektu budowlanego z 2006 r. przywrócono wystrój architektoniczny elewacji (głównie w elewacji frontowej).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Zakres projektu i oc</w:t>
      </w:r>
      <w:r>
        <w:rPr>
          <w:rFonts w:ascii="Arial" w:eastAsia="Arial" w:hAnsi="Arial" w:cs="Arial"/>
          <w:sz w:val="24"/>
          <w:szCs w:val="24"/>
        </w:rPr>
        <w:t>eny stanu technicznego obejmuje stolarkę okienną budynku pałacowego. Powołując się na istniejącą ikonografię oraz zapisy karty zabytku białej oraz zielonej ustalono, że wystrój elewacji pałacu ulegał wielokrotnym zmianom, w tym również stolarka okienna.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W </w:t>
      </w:r>
      <w:r>
        <w:rPr>
          <w:rFonts w:ascii="Arial" w:eastAsia="Arial" w:hAnsi="Arial" w:cs="Arial"/>
          <w:sz w:val="24"/>
          <w:szCs w:val="24"/>
        </w:rPr>
        <w:t>chwili sporządzania projektu budowlanego występująca stolarka okienna jest wtórna, jednoramowa, z podziałem krzyżowym, niejednolita, wykonana w ramach prowadzonych po wojnie prac remontowych bez podjęcia rekonstrukcji wcześniejszej formy stolarki okiennej.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Stan istniejącej stolarki okiennej jest zróżnicowany. Część okien nie posiada szklenia lub w oknach występuje szklenie jednoszybowe, miejscowo uszkodzone, zabrudzone. Konstrukcja drewniana stolarki posiada uszkodzone lub wybrakowane elementy. Niektóre okn</w:t>
      </w:r>
      <w:r>
        <w:rPr>
          <w:rFonts w:ascii="Arial" w:eastAsia="Arial" w:hAnsi="Arial" w:cs="Arial"/>
          <w:sz w:val="24"/>
          <w:szCs w:val="24"/>
        </w:rPr>
        <w:t>a są nieprawidłowo osadzone.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Ze względu na zły stan techniczny dachu projekt jego wzmocnienia wraz z odtworzeniem lukarn jest realizowany wg odrębnego </w:t>
      </w:r>
      <w:r>
        <w:rPr>
          <w:rFonts w:ascii="Arial" w:eastAsia="Arial" w:hAnsi="Arial" w:cs="Arial"/>
          <w:sz w:val="24"/>
          <w:szCs w:val="24"/>
        </w:rPr>
        <w:lastRenderedPageBreak/>
        <w:t>opracowania. Niniejszy projekt uwzględnia wykonanie stolarki okiennej w poziomie poddasza, może ona jedna</w:t>
      </w:r>
      <w:r>
        <w:rPr>
          <w:rFonts w:ascii="Arial" w:eastAsia="Arial" w:hAnsi="Arial" w:cs="Arial"/>
          <w:sz w:val="24"/>
          <w:szCs w:val="24"/>
        </w:rPr>
        <w:t>k zostać zamontowana dopiero po wykonaniu prac remontowych konstrukcji więźby dachowej, na podstawie odrębnego projektu.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Część otworów okiennych została w całości lub częściowo zamurowana, z tego względu konieczne jest przeprowadzenie oceny technicznej ist</w:t>
      </w:r>
      <w:r>
        <w:rPr>
          <w:rFonts w:ascii="Arial" w:eastAsia="Arial" w:hAnsi="Arial" w:cs="Arial"/>
          <w:sz w:val="24"/>
          <w:szCs w:val="24"/>
        </w:rPr>
        <w:t>niejących nadproży okiennych, w trakcie realizacji prac, po skuciu tynków w ich obszarze oraz w strefie nadproży okiennych.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Wtórne elementy takie jak m.in. stalowe okiennice i kraty nie posiadają waloru historycznego ani estetycznego.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Stan techniczny stola</w:t>
      </w:r>
      <w:r>
        <w:rPr>
          <w:rFonts w:ascii="Arial" w:eastAsia="Arial" w:hAnsi="Arial" w:cs="Arial"/>
          <w:sz w:val="24"/>
          <w:szCs w:val="24"/>
        </w:rPr>
        <w:t>rki okiennej został oceniony jako słaby, na co wpływ miały następujące wady i uszkodzenia występujące w obszarze większości okien: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1) powłoka malarska jest zniszczona;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2) drewno miejscowo jest w słabym stanie technicznym zarówno w oknach jak i ramach okien</w:t>
      </w:r>
      <w:r>
        <w:rPr>
          <w:rFonts w:ascii="Arial" w:eastAsia="Arial" w:hAnsi="Arial" w:cs="Arial"/>
          <w:sz w:val="24"/>
          <w:szCs w:val="24"/>
        </w:rPr>
        <w:t>nych;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3) szklenie miejscowo jest uszkodzone lub nie występuje;</w:t>
      </w:r>
    </w:p>
    <w:p w:rsidR="00871939" w:rsidRDefault="00185CEA">
      <w:pPr>
        <w:spacing w:line="36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4) miejscowo występują szerokie szczeliny i nieszczelności montażowe.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8"/>
        <w:ind w:right="3378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Główny Kod CPV zamówienia: 45421132-8     –  Instalowanie Stolarki Okiennej 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before="182"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TRYB UDZIELANIA ZAMÓWIENIA</w:t>
      </w:r>
    </w:p>
    <w:p w:rsidR="00871939" w:rsidRDefault="00185CE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80" w:line="360" w:lineRule="auto"/>
        <w:ind w:right="11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Niniejsze postępowanie prowadzone jest z zachowaniem zasady konkurencyjności, o której mowa w aktualnych na dzień ogłoszenia zapytania ofertowego  Wytycznych w zakresie kwalifikowalności wydatków </w:t>
      </w:r>
    </w:p>
    <w:p w:rsidR="00871939" w:rsidRDefault="00185CE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Do niniejszego zaproszenia do składania ofert nie stosuje 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ię Ustawy z dnia 11 września 2019 r. Prawo zamówień publicznych (Dz. U. z 2019 r. poz. 2019 z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późn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 zm.)</w:t>
      </w:r>
    </w:p>
    <w:p w:rsidR="00871939" w:rsidRDefault="00185CE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Dane osobowe przekazane Zamawiającemu w toku prowadzenia postępowania będą przetwarzane zgodnie z regulacjami rozporządzenia Parlamentu Europejskiego i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Rady (UE) 2016/679 z dnia 27 kwietnia 2016 r. w sprawie ochrony osób fizycznych w związku z przetwarzaniem danych osobowych i w sprawie swobodnego przepływu takich danych oraz uchylenia dyrektywy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95/46/WE (ogólne rozporządzenie o ochronie danych)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Dz.Urz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UE L 119 z 04.05.2016, str. 1) (dalej Rozporządzenie RODO). Szczegółowe informacje w tym zakresie znajdują się w Klauzuli informacyjnej RODO stanowiącej załącznik do niniejszego zapytania ofertowego.</w:t>
      </w:r>
    </w:p>
    <w:p w:rsidR="00871939" w:rsidRDefault="00185CE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56" w:line="360" w:lineRule="auto"/>
        <w:ind w:right="11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sprawach nieuregulowanych zastosowanie znajdują bezwzględnie obowiązujące przepisy prawa w szczególności ustawy z dnia 23 kwietnia 1964 r. Kodeks cywilny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t.j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Dz.U. z 2020 r. poz. 1740 z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późn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 zm.)</w:t>
      </w:r>
    </w:p>
    <w:p w:rsidR="00871939" w:rsidRDefault="00185CE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56" w:line="360" w:lineRule="auto"/>
        <w:ind w:right="117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PRZEDMIOT ZAMÓWIENIA</w:t>
      </w:r>
    </w:p>
    <w:p w:rsidR="00871939" w:rsidRDefault="00185CEA">
      <w:pPr>
        <w:spacing w:after="80" w:line="36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Program prac remontowych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Informa</w:t>
      </w:r>
      <w:r>
        <w:rPr>
          <w:rFonts w:ascii="Arial" w:eastAsia="Arial" w:hAnsi="Arial" w:cs="Arial"/>
          <w:b/>
          <w:sz w:val="24"/>
          <w:szCs w:val="24"/>
        </w:rPr>
        <w:t>cje o zasadniczych elementach wyposażenia budowlano - instalacyjnego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– branża architektoniczna i konstrukcyjna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Zasadnicze elementy wyposażenia budowlanego, mające znaczenie w kontekście zakresu prac projektowych podanych w projekcie to: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stolarka okienna </w:t>
      </w:r>
      <w:r>
        <w:rPr>
          <w:rFonts w:ascii="Arial" w:eastAsia="Arial" w:hAnsi="Arial" w:cs="Arial"/>
          <w:sz w:val="24"/>
          <w:szCs w:val="24"/>
        </w:rPr>
        <w:t>drewniana.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Opis rozwiązań projektowych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Przedstawione poniżej rozwiązania projektowe zostały przedstawione w zakresie ogólnym, dostosowanym do zakresu Projektu </w:t>
      </w:r>
      <w:proofErr w:type="spellStart"/>
      <w:r>
        <w:rPr>
          <w:rFonts w:ascii="Arial" w:eastAsia="Arial" w:hAnsi="Arial" w:cs="Arial"/>
          <w:sz w:val="24"/>
          <w:szCs w:val="24"/>
        </w:rPr>
        <w:t>Architektoniczno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– Budowlanego. Ewentualne uszczegółowienie rozwiązań zostanie przedstawione w Pr</w:t>
      </w:r>
      <w:r>
        <w:rPr>
          <w:rFonts w:ascii="Arial" w:eastAsia="Arial" w:hAnsi="Arial" w:cs="Arial"/>
          <w:sz w:val="24"/>
          <w:szCs w:val="24"/>
        </w:rPr>
        <w:t>ojekcie Technicznym.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Wykonanie lokalnych odkrywek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Na elewacjach budynku oraz w jego wnętrzu, przy nadprożach okiennych, poniżej których wykonano nowe nadproża lub zamurowano otwór okienny, należy wykonać odkrywki umożliwiające dokonanie oceny technicznej i</w:t>
      </w:r>
      <w:r>
        <w:rPr>
          <w:rFonts w:ascii="Arial" w:eastAsia="Arial" w:hAnsi="Arial" w:cs="Arial"/>
          <w:sz w:val="24"/>
          <w:szCs w:val="24"/>
        </w:rPr>
        <w:t>stniejących, pierwotnych nadproży okiennych.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 przypadku wystąpienia złej oceny stanu technicznego nadproży należy poddać je pracom naprawczym lub wzmocnieniom. W takim przypadku przyjęty zakres robót należy uzgodnić z konstruktorem oraz LWKZ.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Uwaga w trak</w:t>
      </w:r>
      <w:r>
        <w:rPr>
          <w:rFonts w:ascii="Arial" w:eastAsia="Arial" w:hAnsi="Arial" w:cs="Arial"/>
          <w:sz w:val="24"/>
          <w:szCs w:val="24"/>
        </w:rPr>
        <w:t>cie wykonywania odkrywek należy zwrócić szczególna uwagę na to, by nie uszkodzić istniejących elementów wystroju architektonicznego.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Udrożnienie zamurowanych otworów okiennych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Po wykonaniu prac związanych z oceną stanu technicznego istniejących nadproży ok</w:t>
      </w:r>
      <w:r>
        <w:rPr>
          <w:rFonts w:ascii="Arial" w:eastAsia="Arial" w:hAnsi="Arial" w:cs="Arial"/>
          <w:sz w:val="24"/>
          <w:szCs w:val="24"/>
        </w:rPr>
        <w:t>iennych, ich ew. naprawą lub wzmocnieniami, w miejscach występujących blend okiennych lub częściowych przewężeniach pierwotnych otworów okiennych, należy wykonać ich udrożnienie, do ich pierwotnego wymiaru. Materiały z wtórnych przemurowań otworów przeznac</w:t>
      </w:r>
      <w:r>
        <w:rPr>
          <w:rFonts w:ascii="Arial" w:eastAsia="Arial" w:hAnsi="Arial" w:cs="Arial"/>
          <w:sz w:val="24"/>
          <w:szCs w:val="24"/>
        </w:rPr>
        <w:t>zone są do usunięcia.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Uwaga w trakcie robót rozbiórkowych należy zwrócić szczególna uwagę na to by nie uszkodzić elementów wystroju architektonicznego.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15.3. Demontaż istniejącej stolarki okiennej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Istniejąca stolarka okienna jest wtórna i zróżnicowana, z t</w:t>
      </w:r>
      <w:r>
        <w:rPr>
          <w:rFonts w:ascii="Arial" w:eastAsia="Arial" w:hAnsi="Arial" w:cs="Arial"/>
          <w:sz w:val="24"/>
          <w:szCs w:val="24"/>
        </w:rPr>
        <w:t>ego względu w całości przeznacza się ją do demontażu i usunięcia. Do usunięcia przeznaczono ościeżnice stalowe w oknach podłużnych w poziomie parteru, w elewacji frontowej (w pozornym ryzalicie). Rama stalowych ościeżnic w obecnym stanie zawęża światło otw</w:t>
      </w:r>
      <w:r>
        <w:rPr>
          <w:rFonts w:ascii="Arial" w:eastAsia="Arial" w:hAnsi="Arial" w:cs="Arial"/>
          <w:sz w:val="24"/>
          <w:szCs w:val="24"/>
        </w:rPr>
        <w:t xml:space="preserve">oru okiennego od strony elewacji, należy przywrócić pierwotny wymiar otworowania poprzez jej usunięcie. </w:t>
      </w:r>
    </w:p>
    <w:p w:rsidR="00871939" w:rsidRDefault="0087193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:rsidR="00871939" w:rsidRDefault="00185CEA">
      <w:pPr>
        <w:spacing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Wykonanie i montaż nowej stolarki okiennej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 uwagi na słaby stan techniczny istniejącej stolarki okiennej, oraz jej wtórny charakter, należy przeprowadzić rekonstrukcję wszystkich istniejących okien, wraz z odtworzeniem wskazanych w projekcie otworowań.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Projektowana jest rekonstrukcja stolarki okie</w:t>
      </w:r>
      <w:r>
        <w:rPr>
          <w:rFonts w:ascii="Arial" w:eastAsia="Arial" w:hAnsi="Arial" w:cs="Arial"/>
          <w:sz w:val="24"/>
          <w:szCs w:val="24"/>
        </w:rPr>
        <w:t>nnej z XIX w., w oparciu o fotografie historyczne, m.in. przedstawione poniżej z 1918 r.</w:t>
      </w:r>
    </w:p>
    <w:p w:rsidR="00871939" w:rsidRDefault="00185CEA">
      <w:pPr>
        <w:spacing w:line="36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0" distB="0" distL="0" distR="0">
            <wp:extent cx="9042400" cy="5611857"/>
            <wp:effectExtent l="0" t="0" r="0" b="0"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42400" cy="561185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71939" w:rsidRDefault="00871939">
      <w:pPr>
        <w:spacing w:line="360" w:lineRule="auto"/>
        <w:jc w:val="both"/>
        <w:rPr>
          <w:rFonts w:ascii="Arial" w:eastAsia="Arial" w:hAnsi="Arial" w:cs="Arial"/>
          <w:sz w:val="24"/>
          <w:szCs w:val="24"/>
        </w:rPr>
      </w:pPr>
    </w:p>
    <w:p w:rsidR="00871939" w:rsidRDefault="00185CEA">
      <w:pPr>
        <w:spacing w:after="100" w:line="360" w:lineRule="auto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 xml:space="preserve"> 3. Uwagi końcowe</w:t>
      </w:r>
    </w:p>
    <w:p w:rsidR="00871939" w:rsidRDefault="00185CEA">
      <w:pPr>
        <w:spacing w:line="360" w:lineRule="auto"/>
        <w:jc w:val="both"/>
        <w:rPr>
          <w:rFonts w:ascii="Arial" w:eastAsia="Arial" w:hAnsi="Arial" w:cs="Arial"/>
          <w:b/>
          <w:i/>
          <w:sz w:val="24"/>
          <w:szCs w:val="24"/>
        </w:rPr>
      </w:pPr>
      <w:r>
        <w:rPr>
          <w:rFonts w:ascii="Arial" w:eastAsia="Arial" w:hAnsi="Arial" w:cs="Arial"/>
          <w:b/>
          <w:i/>
          <w:sz w:val="24"/>
          <w:szCs w:val="24"/>
        </w:rPr>
        <w:t xml:space="preserve">    Wszelkie prace prowadzić zgodnie z obowiązującymi przepisami, warunkami technicznymi pod nadzorem osób uprawnionych oraz służby konserwatorskie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line="360" w:lineRule="auto"/>
        <w:ind w:left="475" w:right="12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 CELU PRZYGOTOWANIA OFERTY I SPORZĄDZENIA KOSZTORYSU OFERTOWEGO dla zakresu objętego niniejszym zapytanie</w:t>
      </w:r>
      <w:r>
        <w:rPr>
          <w:rFonts w:ascii="Arial" w:eastAsia="Arial" w:hAnsi="Arial" w:cs="Arial"/>
          <w:sz w:val="24"/>
          <w:szCs w:val="24"/>
        </w:rPr>
        <w:t>m ofertowym na wykonanie robót budowlanych  w Pałacu  NALEŻY KIEROWAĆ SIĘ:</w:t>
      </w:r>
    </w:p>
    <w:p w:rsidR="00871939" w:rsidRDefault="00185CEA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837"/>
        </w:tabs>
        <w:spacing w:before="1" w:line="360" w:lineRule="auto"/>
        <w:ind w:hanging="3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PRZEDMIAREM ROBÓT, DECYZJĄ  LUBUSKIGO KONSERWATORA ZABYTKÓW. </w:t>
      </w:r>
      <w:r>
        <w:rPr>
          <w:rFonts w:ascii="Arial" w:eastAsia="Arial" w:hAnsi="Arial" w:cs="Arial"/>
          <w:sz w:val="24"/>
          <w:szCs w:val="24"/>
        </w:rPr>
        <w:t>PROJEKTEM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ARCHITEKTONICZNO BUDOWLANYM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tabs>
          <w:tab w:val="left" w:pos="837"/>
        </w:tabs>
        <w:spacing w:before="1" w:line="360" w:lineRule="auto"/>
        <w:ind w:left="836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numPr>
          <w:ilvl w:val="0"/>
          <w:numId w:val="7"/>
        </w:numPr>
        <w:tabs>
          <w:tab w:val="left" w:pos="400"/>
        </w:tabs>
        <w:spacing w:line="360" w:lineRule="auto"/>
        <w:ind w:right="14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WAŻNA INFORMACJA - dotycząca podziału robót wskazanych w dokumentacji technicznej i pozostałych dokumentach, załączonych do zapytania ofertowego.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399" w:right="114"/>
        <w:jc w:val="both"/>
        <w:rPr>
          <w:rFonts w:ascii="Arial" w:eastAsia="Arial" w:hAnsi="Arial" w:cs="Arial"/>
          <w:color w:val="000000"/>
          <w:sz w:val="24"/>
          <w:szCs w:val="24"/>
        </w:rPr>
        <w:sectPr w:rsidR="00871939">
          <w:headerReference w:type="default" r:id="rId11"/>
          <w:footerReference w:type="default" r:id="rId12"/>
          <w:pgSz w:w="16840" w:h="11910" w:orient="landscape"/>
          <w:pgMar w:top="1240" w:right="1300" w:bottom="1200" w:left="1300" w:header="297" w:footer="1002" w:gutter="0"/>
          <w:pgNumType w:start="1"/>
          <w:cols w:space="708"/>
        </w:sectPr>
      </w:pPr>
      <w:r>
        <w:rPr>
          <w:rFonts w:ascii="Arial" w:eastAsia="Arial" w:hAnsi="Arial" w:cs="Arial"/>
          <w:color w:val="000000"/>
          <w:sz w:val="24"/>
          <w:szCs w:val="24"/>
        </w:rPr>
        <w:t>Remont, który jest objęty umową o dofinansowanie ww. w ramach inwestycji z rządowego programu odbudowy zabytków  nr Edycja2RPOZ/2023/533/</w:t>
      </w:r>
      <w:r>
        <w:rPr>
          <w:rFonts w:ascii="Arial" w:eastAsia="Arial" w:hAnsi="Arial" w:cs="Arial"/>
          <w:sz w:val="24"/>
          <w:szCs w:val="24"/>
        </w:rPr>
        <w:t>Polski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Ł</w:t>
      </w:r>
      <w:r>
        <w:rPr>
          <w:rFonts w:ascii="Arial" w:eastAsia="Arial" w:hAnsi="Arial" w:cs="Arial"/>
          <w:color w:val="000000"/>
          <w:sz w:val="24"/>
          <w:szCs w:val="24"/>
        </w:rPr>
        <w:t>ad stąd dokumentacja techniczna i wszystkie z tym związane dokumenty, które są załączone do tego zapytania ofer</w:t>
      </w:r>
      <w:r>
        <w:rPr>
          <w:rFonts w:ascii="Arial" w:eastAsia="Arial" w:hAnsi="Arial" w:cs="Arial"/>
          <w:color w:val="000000"/>
          <w:sz w:val="24"/>
          <w:szCs w:val="24"/>
        </w:rPr>
        <w:t>towego dotyczą całego zakresu prac.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Uzyskanie w imieniu Zamawiającego pozwolenia na użytkowanie budynku, jeśli prawnie taka konieczność będzie wymagana.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9"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Cena ofertowa wskazana przez Oferenta powinna również zawierać koszt uzyskania pozwolenia na użytkowani</w:t>
      </w:r>
      <w:r>
        <w:rPr>
          <w:rFonts w:ascii="Arial" w:eastAsia="Arial" w:hAnsi="Arial" w:cs="Arial"/>
          <w:color w:val="000000"/>
          <w:sz w:val="24"/>
          <w:szCs w:val="24"/>
        </w:rPr>
        <w:t>e budynku (jeśli zajdzie taka konieczność).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Wszelkie użyte w opisie przedmiotu zamówienia, w tym zwłaszcza w przedmiarach robót oraz dokumentacji projektowej, bezpośrednie wskazania danego producenta lub dostawcy, konkretnej marki oraz nazwy własnej poszczególnych producentów, nazwy określonego wyro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bu lub źródła lub znaku towarowego, patentu, rodzaju lub specyficzne pochodzenie zostały użyte pomocniczo i nie stanowią wskazania obowiązku ich stosowania w ofercie. Zamawiający dopuszcza, w każdym aspekcie zamówienia, zastosowanie rozwiązań równoważnych </w:t>
      </w:r>
      <w:r>
        <w:rPr>
          <w:rFonts w:ascii="Arial" w:eastAsia="Arial" w:hAnsi="Arial" w:cs="Arial"/>
          <w:color w:val="000000"/>
          <w:sz w:val="24"/>
          <w:szCs w:val="24"/>
        </w:rPr>
        <w:t>lub lepszych do wskazanych pod warunkiem, że ich zastosowanie nie będzie prowadzić do pogorszenia wskazanych parametrów technicznych, funkcjonalnych i jakościowych. Udowodnienie, że oferowane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9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rozwiązanie jest równowartościowe lub lepsze od wymaganego, leży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 stronie oferenta.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Okres gwarancji.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9" w:line="360" w:lineRule="auto"/>
        <w:ind w:left="39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Wykonawca zobowiązuje się do udzielenia min. </w:t>
      </w:r>
      <w:r>
        <w:rPr>
          <w:rFonts w:ascii="Arial" w:eastAsia="Arial" w:hAnsi="Arial" w:cs="Arial"/>
          <w:sz w:val="24"/>
          <w:szCs w:val="24"/>
        </w:rPr>
        <w:t>36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miesięcy gwarancji na wykonane usługi, objętej niniejszym zamówieniem.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Podczas prowadzenia robót ziemnych, jeżeli zajdzie taka potrzeba, Wykonawca jest zobowiązany zapewnić bieżący Nadzór Archeologiczny.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right="56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Wykonanie zadania będzie pod ścisłą kontrolą Wojewódzkiego Konserwatora Zabytków. W ramach projektu przewiduje się wizyty k</w:t>
      </w:r>
      <w:r>
        <w:rPr>
          <w:rFonts w:ascii="Arial" w:eastAsia="Arial" w:hAnsi="Arial" w:cs="Arial"/>
          <w:color w:val="000000"/>
          <w:sz w:val="24"/>
          <w:szCs w:val="24"/>
        </w:rPr>
        <w:t>omisji z udziałem Wojewódzkiego Konserwatora Zabytków.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  <w:sectPr w:rsidR="00871939">
          <w:pgSz w:w="16840" w:h="11910" w:orient="landscape"/>
          <w:pgMar w:top="1240" w:right="1300" w:bottom="1200" w:left="1300" w:header="297" w:footer="1002" w:gutter="0"/>
          <w:cols w:space="708"/>
        </w:sectPr>
      </w:pPr>
      <w:r>
        <w:rPr>
          <w:rFonts w:ascii="Arial" w:eastAsia="Arial" w:hAnsi="Arial" w:cs="Arial"/>
          <w:color w:val="000000"/>
          <w:sz w:val="24"/>
          <w:szCs w:val="24"/>
        </w:rPr>
        <w:t>Odbiór robót dokonywany będzie przez Inspektora przy udziale Wykonawcy.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0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56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Zgodnie z aktualnym wnioskiem o dofinansowanie projektu - zakończenie rzeczowe najpóźniej do dnia </w:t>
      </w:r>
      <w:r>
        <w:rPr>
          <w:rFonts w:ascii="Arial" w:eastAsia="Arial" w:hAnsi="Arial" w:cs="Arial"/>
          <w:color w:val="FF0000"/>
          <w:sz w:val="24"/>
          <w:szCs w:val="24"/>
        </w:rPr>
        <w:t>2</w:t>
      </w:r>
      <w:r>
        <w:rPr>
          <w:rFonts w:ascii="Arial" w:eastAsia="Arial" w:hAnsi="Arial" w:cs="Arial"/>
          <w:color w:val="FF0000"/>
          <w:sz w:val="24"/>
          <w:szCs w:val="24"/>
        </w:rPr>
        <w:t>7</w:t>
      </w:r>
      <w:r>
        <w:rPr>
          <w:rFonts w:ascii="Arial" w:eastAsia="Arial" w:hAnsi="Arial" w:cs="Arial"/>
          <w:color w:val="FF0000"/>
          <w:sz w:val="24"/>
          <w:szCs w:val="24"/>
        </w:rPr>
        <w:t>.</w:t>
      </w:r>
      <w:r>
        <w:rPr>
          <w:rFonts w:ascii="Arial" w:eastAsia="Arial" w:hAnsi="Arial" w:cs="Arial"/>
          <w:color w:val="FF0000"/>
          <w:sz w:val="24"/>
          <w:szCs w:val="24"/>
        </w:rPr>
        <w:t>09</w:t>
      </w:r>
      <w:r>
        <w:rPr>
          <w:rFonts w:ascii="Arial" w:eastAsia="Arial" w:hAnsi="Arial" w:cs="Arial"/>
          <w:color w:val="FF0000"/>
          <w:sz w:val="24"/>
          <w:szCs w:val="24"/>
        </w:rPr>
        <w:t>.202</w:t>
      </w:r>
      <w:r>
        <w:rPr>
          <w:rFonts w:ascii="Arial" w:eastAsia="Arial" w:hAnsi="Arial" w:cs="Arial"/>
          <w:color w:val="FF0000"/>
          <w:sz w:val="24"/>
          <w:szCs w:val="24"/>
        </w:rPr>
        <w:t>5</w:t>
      </w:r>
      <w:r>
        <w:rPr>
          <w:rFonts w:ascii="Arial" w:eastAsia="Arial" w:hAnsi="Arial" w:cs="Arial"/>
          <w:color w:val="FF0000"/>
          <w:sz w:val="24"/>
          <w:szCs w:val="24"/>
        </w:rPr>
        <w:t xml:space="preserve"> r</w:t>
      </w:r>
      <w:r>
        <w:rPr>
          <w:rFonts w:ascii="Arial" w:eastAsia="Arial" w:hAnsi="Arial" w:cs="Arial"/>
          <w:color w:val="000000"/>
          <w:sz w:val="24"/>
          <w:szCs w:val="24"/>
        </w:rPr>
        <w:t>. muszą zostać wykonane wszystkie zadania w ramach całego projektu.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" w:line="360" w:lineRule="auto"/>
        <w:ind w:right="11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Nieruchomość, której dotyczy zamówienie zlokalizowana jest w  m. Chich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37E ,  Gmina Małomice.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" w:line="360" w:lineRule="auto"/>
        <w:ind w:right="11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Podmiotom zainteresowanym udziałem w postępowaniu Zamawiający umożliwi przeprowadzenie wizji lokalnej miejsca objętego zamówieniem, celem poznania specyfiki zamówienia. W celu przeprowadzenia wizji lokalnej prosimy o kontakt z Zamawiającym.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ni</w:t>
      </w:r>
      <w:r>
        <w:rPr>
          <w:rFonts w:ascii="Arial" w:eastAsia="Arial" w:hAnsi="Arial" w:cs="Arial"/>
          <w:color w:val="000000"/>
          <w:sz w:val="24"/>
          <w:szCs w:val="24"/>
        </w:rPr>
        <w:t>e dopuszcza składania ofert częściowych.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nie dopuszcza składania ofert wariantowych.</w:t>
      </w:r>
    </w:p>
    <w:p w:rsidR="00871939" w:rsidRDefault="00185CE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  <w:sectPr w:rsidR="00871939">
          <w:pgSz w:w="16840" w:h="11910" w:orient="landscape"/>
          <w:pgMar w:top="1240" w:right="1300" w:bottom="1200" w:left="1300" w:header="297" w:footer="1002" w:gutter="0"/>
          <w:cols w:space="708"/>
        </w:sectPr>
      </w:pPr>
      <w:r>
        <w:rPr>
          <w:rFonts w:ascii="Arial" w:eastAsia="Arial" w:hAnsi="Arial" w:cs="Arial"/>
          <w:color w:val="000000"/>
          <w:sz w:val="24"/>
          <w:szCs w:val="24"/>
        </w:rPr>
        <w:t>Zamawiający dopuszcza powierzenie części lub całości zamówienia podwykonawcom.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before="56" w:line="360" w:lineRule="auto"/>
        <w:ind w:left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HARMONOGRAM REALIZACJI ZAMÓWIENIA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42" w:line="360" w:lineRule="auto"/>
        <w:ind w:left="1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Planowany termin zakończenia rzeczowej realizacji zamówienia: do 2</w:t>
      </w:r>
      <w:r>
        <w:rPr>
          <w:rFonts w:ascii="Arial" w:eastAsia="Arial" w:hAnsi="Arial" w:cs="Arial"/>
          <w:sz w:val="24"/>
          <w:szCs w:val="24"/>
        </w:rPr>
        <w:t>9</w:t>
      </w:r>
      <w:r>
        <w:rPr>
          <w:rFonts w:ascii="Arial" w:eastAsia="Arial" w:hAnsi="Arial" w:cs="Arial"/>
          <w:color w:val="000000"/>
          <w:sz w:val="24"/>
          <w:szCs w:val="24"/>
        </w:rPr>
        <w:t>.</w:t>
      </w:r>
      <w:r>
        <w:rPr>
          <w:rFonts w:ascii="Arial" w:eastAsia="Arial" w:hAnsi="Arial" w:cs="Arial"/>
          <w:sz w:val="24"/>
          <w:szCs w:val="24"/>
        </w:rPr>
        <w:t>09</w:t>
      </w:r>
      <w:r>
        <w:rPr>
          <w:rFonts w:ascii="Arial" w:eastAsia="Arial" w:hAnsi="Arial" w:cs="Arial"/>
          <w:color w:val="000000"/>
          <w:sz w:val="24"/>
          <w:szCs w:val="24"/>
        </w:rPr>
        <w:t>.202</w:t>
      </w:r>
      <w:r>
        <w:rPr>
          <w:rFonts w:ascii="Arial" w:eastAsia="Arial" w:hAnsi="Arial" w:cs="Arial"/>
          <w:sz w:val="24"/>
          <w:szCs w:val="24"/>
        </w:rPr>
        <w:t>5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r.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22" w:line="360" w:lineRule="auto"/>
        <w:ind w:left="115" w:right="6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Planowany termin podpisania umowy z wykonawcą: do 14 dni od wyboru wykonawcy. Planowany termin rozpoczęcia realizacji zamówienia: </w:t>
      </w:r>
      <w:r>
        <w:rPr>
          <w:rFonts w:ascii="Arial" w:eastAsia="Arial" w:hAnsi="Arial" w:cs="Arial"/>
          <w:sz w:val="24"/>
          <w:szCs w:val="24"/>
        </w:rPr>
        <w:t>Marzec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 2024 r.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5" w:right="56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Termin realizacji zamówienia może ulec zmianie w uzasadnionych okolicznościach oraz pod warunkiem uzyskania zgody </w:t>
      </w:r>
      <w:r>
        <w:rPr>
          <w:rFonts w:ascii="Arial" w:eastAsia="Arial" w:hAnsi="Arial" w:cs="Arial"/>
          <w:sz w:val="24"/>
          <w:szCs w:val="24"/>
        </w:rPr>
        <w:t>dofinansowania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inwestycji z rządowego programu odbudowy Polski Ład. 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9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MIEJSCE REALIZACJI PRZEDMIOTU ZAMÓWIENIA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40" w:line="360" w:lineRule="auto"/>
        <w:ind w:left="1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Siedziba Zamawiającego.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22" w:line="360" w:lineRule="auto"/>
        <w:ind w:left="115" w:right="950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m. Chichy</w:t>
      </w:r>
      <w:r>
        <w:rPr>
          <w:rFonts w:ascii="Arial" w:eastAsia="Arial" w:hAnsi="Arial" w:cs="Arial"/>
          <w:sz w:val="24"/>
          <w:szCs w:val="24"/>
        </w:rPr>
        <w:br/>
        <w:t xml:space="preserve">ul.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Chichy 37E 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22" w:line="360" w:lineRule="auto"/>
        <w:ind w:left="115" w:right="950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67-320 Małomice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before="1"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WARUNKI UDZIAŁU W POSTĘPOWANIU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42" w:line="360" w:lineRule="auto"/>
        <w:ind w:left="1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udzielenie zamówienia mogą ubiegać się Oferenci, którzy: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Posiadają uprawnienia do wykonywania określonej działalności lub czynności, jeżeli przepisy prawa nakładają obowiązek ich posiadania.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Posiadają wiedzę w zakresie wykonania niniejszego zamówienia.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1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Dysponują odpowiednim potencjałem technicznym oraz osobami z</w:t>
      </w:r>
      <w:r>
        <w:rPr>
          <w:rFonts w:ascii="Arial" w:eastAsia="Arial" w:hAnsi="Arial" w:cs="Arial"/>
          <w:color w:val="000000"/>
          <w:sz w:val="24"/>
          <w:szCs w:val="24"/>
        </w:rPr>
        <w:t>dolnymi do wykonania zamówienia, w tym m.in. dysponują co najmniej jedną osobą, Kierownikiem robót, która będzie odpowiedzialna za kierowanie robotami budowlanymi, posiadającą uprawnienia budowlane do kierowania robotami  budowlanymi w specjalności: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543" w:right="65" w:hanging="14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-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kons</w:t>
      </w:r>
      <w:r>
        <w:rPr>
          <w:rFonts w:ascii="Arial" w:eastAsia="Arial" w:hAnsi="Arial" w:cs="Arial"/>
          <w:color w:val="000000"/>
          <w:sz w:val="24"/>
          <w:szCs w:val="24"/>
        </w:rPr>
        <w:t>trukcyjno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- budowlanej,  oraz osoba lub osoby odpowiedzialne za kierowanie robotami budowlanymi muszą spełniać wymagania, o których mowa a art. 37 c ustawy o ochronie zabytków i opiece nad zabytkami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t.j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. Dz. U. z 2022 r. poz. 840) tj. kierowanie robotami </w:t>
      </w:r>
      <w:r>
        <w:rPr>
          <w:rFonts w:ascii="Arial" w:eastAsia="Arial" w:hAnsi="Arial" w:cs="Arial"/>
          <w:color w:val="000000"/>
          <w:sz w:val="24"/>
          <w:szCs w:val="24"/>
        </w:rPr>
        <w:t>budowlanymi przy zabytkach nieruchomych wpisanych do rejestru wykonuje osoba, która posiada uprawnienia budowlane określone przepisami Prawa budowlanego oraz która przez co najmniej 18 miesięcy brała udział w robotach budowlanych prowadzonych przy zabytkac</w:t>
      </w:r>
      <w:r>
        <w:rPr>
          <w:rFonts w:ascii="Arial" w:eastAsia="Arial" w:hAnsi="Arial" w:cs="Arial"/>
          <w:color w:val="000000"/>
          <w:sz w:val="24"/>
          <w:szCs w:val="24"/>
        </w:rPr>
        <w:t>h nieruchomych wpisanych do rejestru lub inwentarza muzeum będącego instytucją kultury.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Znajdują się w sytuacji ekonomicznej i finansowej zapewniającej wykonanie zamówienia we wskazanych terminach.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0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Posiadają pełną zdolność do czynności prawnych oraz korzystają z pełni praw publicznych.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Posiadają doświadczenie w zakresie wykonania niniejszego zamówienia.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nie stawia warunków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Nie posiadają zaległości wobec Urzędu Skarbowego oraz Zakładu Ubezpieczeń Społecznych.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Będą posiadać na czas realizacji zamówienia ubezpieczenie od odpowiedzialności cywilnej w zakresie prowadzonej działalności związanej z przedmiotem zamówienia na sumę gw</w:t>
      </w:r>
      <w:r>
        <w:rPr>
          <w:rFonts w:ascii="Arial" w:eastAsia="Arial" w:hAnsi="Arial" w:cs="Arial"/>
          <w:color w:val="000000"/>
          <w:sz w:val="24"/>
          <w:szCs w:val="24"/>
        </w:rPr>
        <w:t>arancyjną nie niższą niż 100% wartości ceny ofertowej brutto (wartość ofertowa zamówienia brutto plus pokrycie ew. dodatkowych szkód) oraz najpóźniej w dniu podpisania umowy przedłożą Zamawiającemu kopię polisy ubezpieczeniowej oraz dowodu jej opłacenia (j</w:t>
      </w:r>
      <w:r>
        <w:rPr>
          <w:rFonts w:ascii="Arial" w:eastAsia="Arial" w:hAnsi="Arial" w:cs="Arial"/>
          <w:color w:val="000000"/>
          <w:sz w:val="24"/>
          <w:szCs w:val="24"/>
        </w:rPr>
        <w:t>eśli z polisy nie wynika, że została ona opłacona), a w przypadku jej braku innego dokumentu potwierdzającego, że Wykonawca jest ubezpieczony w zakresie prowadzonej działalności gospodarczej związanej z przedmiotem zamówienia na sumę gwarancyjną nie niższą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niż 100% wartości ceny ofertowej brutto, przy czym brak dokumentu potwierdzającego zawarcie ubezpieczenia może stanowić podstawę do odmowy podpisania umowy przez Zamawiającego z winy leżącej po stronie Wykonawcy.</w:t>
      </w:r>
    </w:p>
    <w:p w:rsidR="00871939" w:rsidRDefault="00185CE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Zagwarantują, że okres gwarancji dla przedmiotu zamówienia wynosi </w:t>
      </w:r>
      <w:r>
        <w:rPr>
          <w:rFonts w:ascii="Arial" w:eastAsia="Arial" w:hAnsi="Arial" w:cs="Arial"/>
          <w:sz w:val="24"/>
          <w:szCs w:val="24"/>
        </w:rPr>
        <w:t>36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miesięcy od dnia odbioru końcowego.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11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Powyższe warunki uznaje się za spełnione, jeśli Oferent złoży oświadczenie w powyższym zakresie (</w:t>
      </w:r>
      <w:r>
        <w:rPr>
          <w:rFonts w:ascii="Arial" w:eastAsia="Arial" w:hAnsi="Arial" w:cs="Arial"/>
          <w:b/>
          <w:color w:val="000000"/>
          <w:sz w:val="24"/>
          <w:szCs w:val="24"/>
        </w:rPr>
        <w:t>pkt a-e, h-i</w:t>
      </w:r>
      <w:r>
        <w:rPr>
          <w:rFonts w:ascii="Arial" w:eastAsia="Arial" w:hAnsi="Arial" w:cs="Arial"/>
          <w:color w:val="000000"/>
          <w:sz w:val="24"/>
          <w:szCs w:val="24"/>
        </w:rPr>
        <w:t>).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5" w:right="22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Warunek wskazany w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pkt g.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uznaje się za spełniony, jeśli Oferent złoży oświadczenie w powyższym zakresie oraz przedłoży jako załącznik do oferty aktualne Zaświadczenie o niezaleganiu w podatkach wobec Urzędu Skarbowego oraz aktualne Zaświadczenie o niezaleganiu w opłacaniu składek </w:t>
      </w:r>
      <w:r>
        <w:rPr>
          <w:rFonts w:ascii="Arial" w:eastAsia="Arial" w:hAnsi="Arial" w:cs="Arial"/>
          <w:color w:val="000000"/>
          <w:sz w:val="24"/>
          <w:szCs w:val="24"/>
        </w:rPr>
        <w:t>ZUS.</w:t>
      </w:r>
    </w:p>
    <w:p w:rsidR="00871939" w:rsidRDefault="00185CEA">
      <w:pPr>
        <w:pStyle w:val="Nagwek1"/>
        <w:spacing w:line="360" w:lineRule="auto"/>
        <w:ind w:firstLine="115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MINIMALNY ZAKRES OFERTY</w:t>
      </w:r>
    </w:p>
    <w:p w:rsidR="00871939" w:rsidRDefault="00185C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36"/>
          <w:tab w:val="left" w:pos="837"/>
        </w:tabs>
        <w:spacing w:before="142" w:line="360" w:lineRule="auto"/>
        <w:ind w:hanging="3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pełna nazwa i adres oferenta;</w:t>
      </w:r>
    </w:p>
    <w:p w:rsidR="00871939" w:rsidRDefault="00185C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36"/>
          <w:tab w:val="left" w:pos="837"/>
        </w:tabs>
        <w:spacing w:before="22" w:line="360" w:lineRule="auto"/>
        <w:ind w:hanging="3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cena ryczałtowa brutto;</w:t>
      </w:r>
    </w:p>
    <w:p w:rsidR="00871939" w:rsidRDefault="00185C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36"/>
          <w:tab w:val="left" w:pos="837"/>
        </w:tabs>
        <w:spacing w:before="19" w:line="360" w:lineRule="auto"/>
        <w:ind w:hanging="3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data sporządzenia oferty;</w:t>
      </w:r>
    </w:p>
    <w:p w:rsidR="00871939" w:rsidRDefault="00185C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36"/>
          <w:tab w:val="left" w:pos="837"/>
        </w:tabs>
        <w:spacing w:before="22" w:line="360" w:lineRule="auto"/>
        <w:ind w:hanging="3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zbiór oświadczeń, zawartych we wzorze oferty stanowiącej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załącznik nr 1 </w:t>
      </w:r>
      <w:r>
        <w:rPr>
          <w:rFonts w:ascii="Arial" w:eastAsia="Arial" w:hAnsi="Arial" w:cs="Arial"/>
          <w:color w:val="000000"/>
          <w:sz w:val="24"/>
          <w:szCs w:val="24"/>
        </w:rPr>
        <w:t>do zapytania ofertowego;</w:t>
      </w:r>
    </w:p>
    <w:p w:rsidR="00871939" w:rsidRDefault="00185C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36"/>
          <w:tab w:val="left" w:pos="837"/>
        </w:tabs>
        <w:spacing w:before="21" w:line="360" w:lineRule="auto"/>
        <w:ind w:hanging="3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oświadczenie o braku powiązań kapitałowych i osobowych stanowiący </w:t>
      </w: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załącznik nr 3 </w:t>
      </w:r>
      <w:r>
        <w:rPr>
          <w:rFonts w:ascii="Arial" w:eastAsia="Arial" w:hAnsi="Arial" w:cs="Arial"/>
          <w:color w:val="000000"/>
          <w:sz w:val="24"/>
          <w:szCs w:val="24"/>
        </w:rPr>
        <w:t>do zapytania ofertowego;</w:t>
      </w:r>
    </w:p>
    <w:p w:rsidR="00871939" w:rsidRDefault="00185C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36"/>
          <w:tab w:val="left" w:pos="837"/>
        </w:tabs>
        <w:spacing w:before="22" w:line="360" w:lineRule="auto"/>
        <w:ind w:hanging="36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szczegółowy kosztorys ofertowy prac budowlanych;</w:t>
      </w:r>
    </w:p>
    <w:p w:rsidR="00871939" w:rsidRDefault="00185CE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836"/>
          <w:tab w:val="left" w:pos="837"/>
        </w:tabs>
        <w:spacing w:before="46" w:line="360" w:lineRule="auto"/>
        <w:ind w:hanging="362"/>
        <w:rPr>
          <w:rFonts w:ascii="Arial" w:eastAsia="Arial" w:hAnsi="Arial" w:cs="Arial"/>
          <w:color w:val="000000"/>
          <w:sz w:val="24"/>
          <w:szCs w:val="24"/>
        </w:rPr>
        <w:sectPr w:rsidR="00871939">
          <w:pgSz w:w="16840" w:h="11910" w:orient="landscape"/>
          <w:pgMar w:top="1240" w:right="1300" w:bottom="1200" w:left="1300" w:header="297" w:footer="1002" w:gutter="0"/>
          <w:cols w:space="708"/>
        </w:sectPr>
      </w:pPr>
      <w:r>
        <w:rPr>
          <w:rFonts w:ascii="Arial" w:eastAsia="Arial" w:hAnsi="Arial" w:cs="Arial"/>
          <w:color w:val="000000"/>
          <w:sz w:val="24"/>
          <w:szCs w:val="24"/>
        </w:rPr>
        <w:t>aktualne Zaświadczenie o niezaleganiu w podatkach wobec Urzędu Skarbowego oraz akt</w:t>
      </w:r>
      <w:r>
        <w:rPr>
          <w:rFonts w:ascii="Arial" w:eastAsia="Arial" w:hAnsi="Arial" w:cs="Arial"/>
          <w:color w:val="000000"/>
          <w:sz w:val="24"/>
          <w:szCs w:val="24"/>
        </w:rPr>
        <w:t>ualne Zaświadczenie o niezaleganiu w opłacaniu składek ZUS.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8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7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Oferta nie posiadająca minimalnego zakresu wskazanego powyżej nie będzie brana pod uwagę podczas wyłaniania oferenta.</w:t>
      </w:r>
    </w:p>
    <w:p w:rsidR="00871939" w:rsidRDefault="00185CEA">
      <w:pPr>
        <w:spacing w:before="22" w:line="360" w:lineRule="auto"/>
        <w:ind w:left="115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Oferta powinna być złożona zgodnie ze wzorem oferty (formularz ofertowy), stanowiącym załącznik do zapytania ofertowego.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9" w:line="360" w:lineRule="auto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871939" w:rsidRDefault="00185CEA">
      <w:pPr>
        <w:spacing w:before="57" w:line="360" w:lineRule="auto"/>
        <w:ind w:left="115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KRYTERIA OCENY OFERTY I OPIS SPOSOBU PRZYZNAWANIA PUNKTACJI</w:t>
      </w:r>
    </w:p>
    <w:p w:rsidR="00871939" w:rsidRDefault="00185C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42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Wszystkie oferty jakie wpłyną do Zamawiającego w odpowiedzi na zapytanie ofertowe zostaną poddane weryfikacji pod kątem zgodności z przedmiotem zamówienia. Oferta, która nie będzie zgodna z przedmiotem zamówienia lub taka która zostanie przedstawiona w for</w:t>
      </w:r>
      <w:r>
        <w:rPr>
          <w:rFonts w:ascii="Arial" w:eastAsia="Arial" w:hAnsi="Arial" w:cs="Arial"/>
          <w:color w:val="000000"/>
          <w:sz w:val="24"/>
          <w:szCs w:val="24"/>
        </w:rPr>
        <w:t>mie uniemożliwiającej weryfikację tych informacji zostanie odrzucona jako niezgodna z przedmiotem zamówienia.</w:t>
      </w:r>
    </w:p>
    <w:p w:rsidR="00871939" w:rsidRDefault="00185C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dokona oceny punktowej ofert, które:</w:t>
      </w:r>
    </w:p>
    <w:p w:rsidR="00871939" w:rsidRDefault="00185CE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22" w:line="360" w:lineRule="auto"/>
        <w:ind w:hanging="28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zostały złożone w terminie,</w:t>
      </w:r>
    </w:p>
    <w:p w:rsidR="00871939" w:rsidRDefault="00185CE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22" w:line="360" w:lineRule="auto"/>
        <w:ind w:hanging="28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są zgodne z przedmiotem zamówienia,</w:t>
      </w:r>
    </w:p>
    <w:p w:rsidR="00871939" w:rsidRDefault="00185CE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22" w:line="360" w:lineRule="auto"/>
        <w:ind w:hanging="28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spełniają warunki udziału w postępowaniu,</w:t>
      </w:r>
    </w:p>
    <w:p w:rsidR="00871939" w:rsidRDefault="00185CEA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19" w:line="360" w:lineRule="auto"/>
        <w:ind w:hanging="28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przedstawiły ofertę zgodnie z wymaganiami wskazanymi w minimalnym zakresie oferty</w:t>
      </w:r>
    </w:p>
    <w:p w:rsidR="00871939" w:rsidRDefault="00185C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right="3393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Ocena punktowa zostanie dokonana na podstawie oceny kryterium cena – 100%, zgodnie z poniższym wyjaśnieniem. Punktacja oraz waga pro</w:t>
      </w:r>
      <w:r>
        <w:rPr>
          <w:rFonts w:ascii="Arial" w:eastAsia="Arial" w:hAnsi="Arial" w:cs="Arial"/>
          <w:color w:val="000000"/>
          <w:sz w:val="24"/>
          <w:szCs w:val="24"/>
        </w:rPr>
        <w:t>centowa kryteriów oceny ofert, ich znaczenie oraz sposób przyznawania punktacji: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1 - cena: 100%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20" w:line="360" w:lineRule="auto"/>
        <w:ind w:left="399" w:right="1051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Ocenie podlega cena brutto danej oferty. Maksymalna punktacja dla danej oferty z najniższą ceną brutto to 100 pkt.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Kolejne oferty oceniane są proporcjonalnie do podanej ceny brutto zgodnie ze wzorem: (cena brutto najniższa / cena brutto danej oferty) * 100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pkt.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dokona wyboru najkorzystniejszej oferty zgodnie z przedstawionymi kryteriami wg wzoru: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20" w:line="360" w:lineRule="auto"/>
        <w:ind w:left="399" w:right="12692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= C (cena) gdzie: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– Wybrana oferta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22"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C – najkorzystniejsza cena</w:t>
      </w:r>
    </w:p>
    <w:p w:rsidR="00871939" w:rsidRDefault="00185C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9"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Oferta z największą ilością punktów zostanie wyłoniona jako najbardziej korzystna.</w:t>
      </w:r>
    </w:p>
    <w:p w:rsidR="00871939" w:rsidRDefault="00185C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przypadku, kiedy oferenci otrzymają identyczną liczbę punktów tj. podali taką samą najniższą cenę, Zamawiający zwróci się do tych podmiotów z prośbą o przedłożenie ponownie ofert zawierających cenę we wskazanym przez Zamawiającego terminie, po czym Zamaw</w:t>
      </w:r>
      <w:r>
        <w:rPr>
          <w:rFonts w:ascii="Arial" w:eastAsia="Arial" w:hAnsi="Arial" w:cs="Arial"/>
          <w:color w:val="000000"/>
          <w:sz w:val="24"/>
          <w:szCs w:val="24"/>
        </w:rPr>
        <w:t>iający wybierze najkorzystniejszą ofertę spośród ponownie złożonych ofert.</w:t>
      </w:r>
    </w:p>
    <w:p w:rsidR="00871939" w:rsidRDefault="00185C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  <w:sectPr w:rsidR="00871939">
          <w:pgSz w:w="16840" w:h="11910" w:orient="landscape"/>
          <w:pgMar w:top="1240" w:right="1300" w:bottom="1200" w:left="1300" w:header="297" w:footer="1002" w:gutter="0"/>
          <w:cols w:space="708"/>
        </w:sectPr>
      </w:pPr>
      <w:r>
        <w:rPr>
          <w:rFonts w:ascii="Arial" w:eastAsia="Arial" w:hAnsi="Arial" w:cs="Arial"/>
          <w:color w:val="000000"/>
          <w:sz w:val="24"/>
          <w:szCs w:val="24"/>
        </w:rPr>
        <w:t>Informacja o wyborze najkorzystniejszych oferty zostanie upubliczniona w na stronie, na której zamieszczono Zaproszenie.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0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56" w:line="360" w:lineRule="auto"/>
        <w:ind w:right="11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przypadku, gdy cena najkorzystniejszej oferty przekroczy budżet projektu zaplanowany na realizację usługi, Zamawiający zastrzega sobie prawo do unieważnienia całego postępowania objętego niniejszym zapytaniem ofertowym lub prawo do negocjowania ceny z Wy</w:t>
      </w:r>
      <w:r>
        <w:rPr>
          <w:rFonts w:ascii="Arial" w:eastAsia="Arial" w:hAnsi="Arial" w:cs="Arial"/>
          <w:color w:val="000000"/>
          <w:sz w:val="24"/>
          <w:szCs w:val="24"/>
        </w:rPr>
        <w:t>konawcą, który złożył najkorzystniejszą ofertę. W przypadku podjęcia negocjacji, gdy negocjacje nie przyniosą efektu, Zamawiający unieważni wybór wyłonionego Wykonawcy i będzie rozpatrywał oferty kolejnych Wykonawców znajdujących się na liście rankingowej.</w:t>
      </w:r>
    </w:p>
    <w:p w:rsidR="00871939" w:rsidRDefault="00185CEA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0" w:line="360" w:lineRule="auto"/>
        <w:ind w:right="5790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zastrzega sobie prawo do unieważnienia zamówienia bez podania przyczyny.</w:t>
      </w:r>
    </w:p>
    <w:p w:rsidR="00871939" w:rsidRDefault="00185CEA">
      <w:pPr>
        <w:pStyle w:val="Nagwek1"/>
        <w:spacing w:before="1"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TERMIN, SPOSÓB I MIEJSCE SKŁADANIA OFERT</w:t>
      </w:r>
    </w:p>
    <w:p w:rsidR="00871939" w:rsidRDefault="00185CEA">
      <w:pPr>
        <w:spacing w:before="141" w:line="360" w:lineRule="auto"/>
        <w:ind w:left="115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Termin składania ofert do dnia </w:t>
      </w:r>
      <w:r>
        <w:rPr>
          <w:rFonts w:ascii="Arial" w:eastAsia="Arial" w:hAnsi="Arial" w:cs="Arial"/>
          <w:b/>
          <w:color w:val="FF0000"/>
          <w:sz w:val="24"/>
          <w:szCs w:val="24"/>
          <w:u w:val="single"/>
        </w:rPr>
        <w:t xml:space="preserve">27.10.2024 r. 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20" w:line="360" w:lineRule="auto"/>
        <w:ind w:left="1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Dopuszcza się złożenie oferty:</w:t>
      </w:r>
    </w:p>
    <w:p w:rsidR="00871939" w:rsidRDefault="00185C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formie papierowej za pośrednictwem poczty, kuriera lub osobiście.</w:t>
      </w:r>
    </w:p>
    <w:p w:rsidR="00871939" w:rsidRDefault="00185CEA">
      <w:pPr>
        <w:spacing w:before="22" w:line="360" w:lineRule="auto"/>
        <w:ind w:left="399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Miejsce składania ofert: </w:t>
      </w:r>
    </w:p>
    <w:p w:rsidR="00871939" w:rsidRDefault="00185CEA">
      <w:pPr>
        <w:spacing w:before="22" w:line="360" w:lineRule="auto"/>
        <w:ind w:left="399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siedziba  zamawiającego – Pałac w Chichach</w:t>
      </w:r>
    </w:p>
    <w:p w:rsidR="00871939" w:rsidRDefault="00185CEA">
      <w:pPr>
        <w:spacing w:before="22" w:line="360" w:lineRule="auto"/>
        <w:ind w:left="399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Marcin Dobrowolski</w:t>
      </w:r>
    </w:p>
    <w:p w:rsidR="00871939" w:rsidRDefault="00185CEA">
      <w:pPr>
        <w:spacing w:before="22" w:line="360" w:lineRule="auto"/>
        <w:ind w:left="399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Chichy 37E      </w:t>
      </w:r>
    </w:p>
    <w:p w:rsidR="00871939" w:rsidRDefault="00185CEA">
      <w:pPr>
        <w:spacing w:before="22" w:line="360" w:lineRule="auto"/>
        <w:ind w:left="399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67-320 Małomice </w:t>
      </w:r>
    </w:p>
    <w:p w:rsidR="00871939" w:rsidRDefault="00185CEA">
      <w:pPr>
        <w:spacing w:before="22" w:line="360" w:lineRule="auto"/>
        <w:ind w:left="399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shd w:val="clear" w:color="auto" w:fill="FDFDFD"/>
        </w:rPr>
        <w:t xml:space="preserve">tel. +48 506 741 067 </w:t>
      </w:r>
      <w:r>
        <w:rPr>
          <w:rFonts w:ascii="Arial" w:eastAsia="Arial" w:hAnsi="Arial" w:cs="Arial"/>
          <w:color w:val="FF0000"/>
          <w:sz w:val="24"/>
          <w:szCs w:val="24"/>
        </w:rPr>
        <w:t xml:space="preserve"> 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22" w:line="360" w:lineRule="auto"/>
        <w:ind w:left="399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color w:val="FF0000"/>
          <w:sz w:val="24"/>
          <w:szCs w:val="24"/>
        </w:rPr>
        <w:t>Oferty złożone po terminie nie będą rozpatr</w:t>
      </w:r>
      <w:r>
        <w:rPr>
          <w:rFonts w:ascii="Arial" w:eastAsia="Arial" w:hAnsi="Arial" w:cs="Arial"/>
          <w:color w:val="FF0000"/>
          <w:sz w:val="24"/>
          <w:szCs w:val="24"/>
        </w:rPr>
        <w:t>ywane.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1" w:line="360" w:lineRule="auto"/>
        <w:ind w:left="399" w:right="3700"/>
        <w:rPr>
          <w:rFonts w:ascii="Arial" w:eastAsia="Arial" w:hAnsi="Arial" w:cs="Arial"/>
          <w:color w:val="FF0000"/>
          <w:sz w:val="24"/>
          <w:szCs w:val="24"/>
        </w:rPr>
      </w:pPr>
      <w:r>
        <w:rPr>
          <w:rFonts w:ascii="Arial" w:eastAsia="Arial" w:hAnsi="Arial" w:cs="Arial"/>
          <w:color w:val="FF0000"/>
          <w:sz w:val="24"/>
          <w:szCs w:val="24"/>
        </w:rPr>
        <w:t>Liczy się dzień i godzina wpływu oferty, a nie nadania oferty czy też jej sporządzenia.</w:t>
      </w:r>
    </w:p>
    <w:p w:rsidR="00871939" w:rsidRDefault="00185CE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0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Zamawiający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nie zwraca przesłanych ofert.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before="164"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ZAKRES WYKLUCZENIA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42" w:line="360" w:lineRule="auto"/>
        <w:ind w:left="1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 udziału w postępowaniu wykluczeni są Wykonawcy powiązani osobowo i kapitałowo z Zamawiającym, tym samym do udziału w postępowaniu Zamawiający dopuści podmioty, które złożą następujące oświadczenie w tym zakresie:</w:t>
      </w:r>
    </w:p>
    <w:p w:rsidR="00871939" w:rsidRDefault="00185CEA">
      <w:pPr>
        <w:spacing w:line="360" w:lineRule="auto"/>
        <w:ind w:left="115" w:right="257"/>
        <w:rPr>
          <w:rFonts w:ascii="Arial" w:eastAsia="Arial" w:hAnsi="Arial" w:cs="Arial"/>
          <w:i/>
          <w:sz w:val="24"/>
          <w:szCs w:val="24"/>
        </w:rPr>
      </w:pPr>
      <w:r>
        <w:rPr>
          <w:rFonts w:ascii="Arial" w:eastAsia="Arial" w:hAnsi="Arial" w:cs="Arial"/>
          <w:i/>
          <w:sz w:val="24"/>
          <w:szCs w:val="24"/>
        </w:rPr>
        <w:t>Wykonawca oświadcza, że nie jest powiązan</w:t>
      </w:r>
      <w:r>
        <w:rPr>
          <w:rFonts w:ascii="Arial" w:eastAsia="Arial" w:hAnsi="Arial" w:cs="Arial"/>
          <w:i/>
          <w:sz w:val="24"/>
          <w:szCs w:val="24"/>
        </w:rPr>
        <w:t>y osobowo lub kapitałowo z Zamawiającym. Przez powiązania osobowe lub kapitałowe rozumie się wzajemne powiązania między Zamawiającym lub osobami upoważnionymi do zaciągania zobowiązań w imieniu Zamawiającego lub osobami wykonującymi w imieniu Zamawiającego</w:t>
      </w:r>
      <w:r>
        <w:rPr>
          <w:rFonts w:ascii="Arial" w:eastAsia="Arial" w:hAnsi="Arial" w:cs="Arial"/>
          <w:i/>
          <w:sz w:val="24"/>
          <w:szCs w:val="24"/>
        </w:rPr>
        <w:t xml:space="preserve"> czynności związane z przygotowaniem i przeprowadzeniem procedury wyboru Wykonawcy a Wykonawcą, polegające w szczególności na:</w:t>
      </w:r>
    </w:p>
    <w:p w:rsidR="00871939" w:rsidRDefault="00185C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56" w:line="360" w:lineRule="auto"/>
        <w:ind w:hanging="335"/>
        <w:rPr>
          <w:rFonts w:ascii="Arial" w:eastAsia="Arial" w:hAnsi="Arial" w:cs="Arial"/>
          <w:i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uczestniczeniu w spółce jako wspólnik spółki cywilnej lub spółki osobowej,</w:t>
      </w:r>
    </w:p>
    <w:p w:rsidR="00871939" w:rsidRDefault="00185C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left="399" w:hanging="285"/>
        <w:rPr>
          <w:rFonts w:ascii="Arial" w:eastAsia="Arial" w:hAnsi="Arial" w:cs="Arial"/>
          <w:i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posiadaniu co najmniej 10 % udziałów lub akcji,</w:t>
      </w:r>
    </w:p>
    <w:p w:rsidR="00871939" w:rsidRDefault="00185C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left="399" w:hanging="285"/>
        <w:rPr>
          <w:rFonts w:ascii="Arial" w:eastAsia="Arial" w:hAnsi="Arial" w:cs="Arial"/>
          <w:i/>
          <w:color w:val="000000"/>
          <w:sz w:val="24"/>
          <w:szCs w:val="24"/>
        </w:rPr>
      </w:pPr>
      <w:r>
        <w:rPr>
          <w:rFonts w:ascii="Arial" w:eastAsia="Arial" w:hAnsi="Arial" w:cs="Arial"/>
          <w:i/>
          <w:color w:val="000000"/>
          <w:sz w:val="24"/>
          <w:szCs w:val="24"/>
        </w:rPr>
        <w:t>pełnieniu funkcji członka organu nadzorczego lub zarządzającego, prokurenta, pełnomocnika,</w:t>
      </w:r>
    </w:p>
    <w:p w:rsidR="00871939" w:rsidRDefault="00185CE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left="399" w:right="115" w:hanging="284"/>
        <w:rPr>
          <w:rFonts w:ascii="Arial" w:eastAsia="Arial" w:hAnsi="Arial" w:cs="Arial"/>
          <w:i/>
          <w:color w:val="000000"/>
          <w:sz w:val="24"/>
          <w:szCs w:val="24"/>
        </w:rPr>
        <w:sectPr w:rsidR="00871939">
          <w:pgSz w:w="16840" w:h="11910" w:orient="landscape"/>
          <w:pgMar w:top="1240" w:right="1300" w:bottom="1200" w:left="1300" w:header="297" w:footer="1002" w:gutter="0"/>
          <w:cols w:space="708"/>
        </w:sectPr>
      </w:pPr>
      <w:r>
        <w:rPr>
          <w:rFonts w:ascii="Arial" w:eastAsia="Arial" w:hAnsi="Arial" w:cs="Arial"/>
          <w:i/>
          <w:color w:val="000000"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0" w:line="360" w:lineRule="auto"/>
        <w:rPr>
          <w:rFonts w:ascii="Arial" w:eastAsia="Arial" w:hAnsi="Arial" w:cs="Arial"/>
          <w:i/>
          <w:color w:val="000000"/>
          <w:sz w:val="24"/>
          <w:szCs w:val="24"/>
        </w:rPr>
      </w:pP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rPr>
          <w:rFonts w:ascii="Arial" w:eastAsia="Arial" w:hAnsi="Arial" w:cs="Arial"/>
          <w:i/>
          <w:color w:val="000000"/>
          <w:sz w:val="24"/>
          <w:szCs w:val="24"/>
        </w:rPr>
      </w:pPr>
    </w:p>
    <w:p w:rsidR="00871939" w:rsidRDefault="00185CEA">
      <w:pPr>
        <w:pStyle w:val="Nagwek1"/>
        <w:spacing w:before="1"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WARUNKI ZMIANY UMOWY</w:t>
      </w:r>
    </w:p>
    <w:p w:rsidR="00871939" w:rsidRDefault="00185C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41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Zakazuje się istotnych zmian postanowień zawartej umowy w stosunku do treści oferty, z zastrzeżeniem ust. 2, ust. 3, ust. 4, ust. 6 i ust. 7,</w:t>
      </w:r>
    </w:p>
    <w:p w:rsidR="00871939" w:rsidRDefault="00185C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" w:line="360" w:lineRule="auto"/>
        <w:ind w:right="116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Dopuszcza się istotne zmiany postanowień zawartej umowy, w stosunku do treści oferty w przypadku wystąpienia przyn</w:t>
      </w:r>
      <w:r>
        <w:rPr>
          <w:rFonts w:ascii="Arial" w:eastAsia="Arial" w:hAnsi="Arial" w:cs="Arial"/>
          <w:color w:val="000000"/>
          <w:sz w:val="24"/>
          <w:szCs w:val="24"/>
        </w:rPr>
        <w:t>ajmniej jednego z poniższych powodów: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−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wystąpienia uzasadnionych zmian w zakresie i sposobie wykonania przedmiotu zamówienia;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−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wystąpienia uzasadnionych i adekwatnych przyczyn do zmian w zakresie i sposobie wykonania przedmiotu zamówienia </w:t>
      </w:r>
      <w:r>
        <w:rPr>
          <w:rFonts w:ascii="Arial" w:eastAsia="Arial" w:hAnsi="Arial" w:cs="Arial"/>
          <w:sz w:val="24"/>
          <w:szCs w:val="24"/>
        </w:rPr>
        <w:t>wynikających z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wprowadzonych zmian do wniosku o dofinansowanie projektu;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−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wystąpienia obiektywnych przyczyn niezależnych od Zamawiającego i Wykonawcy;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−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wystąpienia okoliczności będących wynikiem działania siły wyższej, przy czym za działanie siły wyższej należy uznać też skutki pandemii COVID-19;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sdt>
        <w:sdtPr>
          <w:tag w:val="goog_rdk_0"/>
          <w:id w:val="-1959095276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4"/>
              <w:szCs w:val="24"/>
            </w:rPr>
            <w:t>−</w:t>
          </w:r>
          <w:r>
            <w:rPr>
              <w:rFonts w:ascii="Arial Unicode MS" w:eastAsia="Arial Unicode MS" w:hAnsi="Arial Unicode MS" w:cs="Arial Unicode MS"/>
              <w:color w:val="000000"/>
              <w:sz w:val="24"/>
              <w:szCs w:val="24"/>
            </w:rPr>
            <w:t xml:space="preserve"> zmiany istotnych regulacji prawnych;</w:t>
          </w:r>
        </w:sdtContent>
      </w:sdt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before="1"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−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wystąpienia odmowy lub wydłużenia terminów wydania przez organy a</w:t>
      </w:r>
      <w:r>
        <w:rPr>
          <w:rFonts w:ascii="Arial" w:eastAsia="Arial" w:hAnsi="Arial" w:cs="Arial"/>
          <w:color w:val="000000"/>
          <w:sz w:val="24"/>
          <w:szCs w:val="24"/>
        </w:rPr>
        <w:t>dministracji lub inne podmioty wymaganych decyzji, zezwoleń, uzgodnień z przyczyn niezawinionych przez Wykonawcę;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−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wystąpienia przyczyn związanych z procedurami rozliczenia dofinansowania inwestycji ze środków rządowego Programu Odbudowy zabytków Polski Ład</w:t>
      </w:r>
    </w:p>
    <w:p w:rsidR="00871939" w:rsidRDefault="00185C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Dopuszcza się możliwość zmiany terminu realizacji umowy, w szczególności w sytuacjach wskazanych w ust. 2, w sy</w:t>
      </w:r>
      <w:r>
        <w:rPr>
          <w:rFonts w:ascii="Arial" w:eastAsia="Arial" w:hAnsi="Arial" w:cs="Arial"/>
          <w:color w:val="000000"/>
          <w:sz w:val="24"/>
          <w:szCs w:val="24"/>
        </w:rPr>
        <w:t>tuacjach niezależnych od wykonawcy np. z powodu niesprzyjających warunków pogodowych, gdyby dalsza realizacja prac budowlanych mogła spowodować niekorzystne dla obiektu konsekwencje, w sytuacji przedłużających się procedur związanych z niezbędnymi pozwolen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iami, w sytuacjach związanych z koniecznością wykonania robót dodatkowych lub zamiennych, które ze względu na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>zasady wiedzy technicznej i sztuki budowlanej wymagają dodatkowego czasu ponad termin wynikający z umowy, innych sytuacji uzasadnionych protokołem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konieczności.</w:t>
      </w:r>
    </w:p>
    <w:p w:rsidR="00871939" w:rsidRDefault="00185C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" w:line="360" w:lineRule="auto"/>
        <w:ind w:right="116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Wydłużenie terminu realizacji umowy na wniosek Wykonawcy będzie możliwe wyłącznie po uzyskaniu zgody Zamawiającego i będzie możliwe wyłącznie w sytuacji, gdy konieczność wydłużenia tego terminu wynika z przyczyn obiektywnych oraz Zamawiający uzyska zgodę n</w:t>
      </w:r>
      <w:r>
        <w:rPr>
          <w:rFonts w:ascii="Arial" w:eastAsia="Arial" w:hAnsi="Arial" w:cs="Arial"/>
          <w:color w:val="000000"/>
          <w:sz w:val="24"/>
          <w:szCs w:val="24"/>
        </w:rPr>
        <w:t>a wydłużenie terminu realizacji projektu przez Instytucję Zarządzającą . Należy jednak mieć na uwadze, że w związku z końcem okresu programowania na wydłużenie terminu realizacji projektu będzie dotyczyć stosunkowo niewielkich przesunięć czasowych.</w:t>
      </w:r>
    </w:p>
    <w:p w:rsidR="00871939" w:rsidRDefault="00185C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Zmiany </w:t>
      </w:r>
      <w:r>
        <w:rPr>
          <w:rFonts w:ascii="Arial" w:eastAsia="Arial" w:hAnsi="Arial" w:cs="Arial"/>
          <w:color w:val="000000"/>
          <w:sz w:val="24"/>
          <w:szCs w:val="24"/>
        </w:rPr>
        <w:t>umowy, o których mowa w ust. 2, ust. 3 i ust.4 nie mogą powodować zwiększenia wartości umowy.</w:t>
      </w:r>
    </w:p>
    <w:p w:rsidR="00871939" w:rsidRDefault="00185CE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Zmiany umowy, o których mowa w ust. 2, ust. 3, ust. 4, ust. 6 i ust. 7 wymagają zgody obydwu stron umowy i formy pisemnej pod rygorem nieważności.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0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DODATKOWE WARUNKI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Termin związania ofertą: 30 dni kalendarzowych.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0" w:line="360" w:lineRule="auto"/>
        <w:ind w:right="11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Oferta powinna być sporządzona w języku polskim. Dokumenty sporządzone w języku obcym muszą być złożone wraz z tłumaczeniem na język polski, poświadczonym przez Oferenta.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Oferta oraz składane łącznie z nią dokumenty muszą być podpisane przez osoby uprawnione do reprezentowania Oferenta, a podpisy muszą umożliwić identyfikację tożsamości osób je składających tj. podpis powinien być złożony wraz z imienną pieczątką lub podpis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powinien być czytelny z podaniem imienia i nazwiska przez osobę upoważnioną do reprezentacji Wykonawcy zgodnie z zasadami reprezentacji wskazanymi we właściwym rejestrze lub centralnej ewidencji i informacji o działalności gospodarczej (CEIDG). Jeżeli oso</w:t>
      </w:r>
      <w:r>
        <w:rPr>
          <w:rFonts w:ascii="Arial" w:eastAsia="Arial" w:hAnsi="Arial" w:cs="Arial"/>
          <w:color w:val="000000"/>
          <w:sz w:val="24"/>
          <w:szCs w:val="24"/>
        </w:rPr>
        <w:t>ba/osoby podpisująca/e ofertę nie wynika z KRS lub z ewidencji działalności gospodarczej (CEIDG), to należy dołączyć stosowne pełnomocnictwo dla tej osoby. Pełnomocnictwo to musi w swej treści wyraźnie wskazywać uprawnienia tej osoby do składania oświadcze</w:t>
      </w:r>
      <w:r>
        <w:rPr>
          <w:rFonts w:ascii="Arial" w:eastAsia="Arial" w:hAnsi="Arial" w:cs="Arial"/>
          <w:color w:val="000000"/>
          <w:sz w:val="24"/>
          <w:szCs w:val="24"/>
        </w:rPr>
        <w:t>ń woli w postępowaniu o udzielenie zamówienia, np. do podpisania oferty.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" w:line="360" w:lineRule="auto"/>
        <w:ind w:right="11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Do upływu terminu składania ofert Zamawiający zastrzega sobie prawo zmiany lub uzupełnienia treści niniejszego zapytania ofertowego. W tej sytuacji potencjalni Wykonawcy, którzy złoży</w:t>
      </w:r>
      <w:r>
        <w:rPr>
          <w:rFonts w:ascii="Arial" w:eastAsia="Arial" w:hAnsi="Arial" w:cs="Arial"/>
          <w:color w:val="000000"/>
          <w:sz w:val="24"/>
          <w:szCs w:val="24"/>
        </w:rPr>
        <w:t>li już ofertę zostaną poinformowani o dokonanej zmianie treści zapytania ofertowego i o ewentualnym nowym terminie składania ofert.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zastrzega sobie prawo do unieważnienia postępowania w ramach zapytania ofertowego bez podania przyczyny – na każ</w:t>
      </w:r>
      <w:r>
        <w:rPr>
          <w:rFonts w:ascii="Arial" w:eastAsia="Arial" w:hAnsi="Arial" w:cs="Arial"/>
          <w:color w:val="000000"/>
          <w:sz w:val="24"/>
          <w:szCs w:val="24"/>
        </w:rPr>
        <w:t>dym jego etapie – bez ponoszenia jakichkolwiek skutków prawnych i finansowych.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zastrzega sobie prawo wydłużenia terminu składania ofert w ramach zapytania ofertowego bez podania przyczyny.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0" w:line="360" w:lineRule="auto"/>
        <w:ind w:right="11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może żądać od Oferentów w toku badania i oceny ofert wyjaśnień, dodatkowych dokumentów i informacji dotyczących treści złożonych ofert, bądź uzupełnienia braków w złożonej ofercie wyznaczając Wykonawcy odpowiedni termin. W przypadku nieuzupełni</w:t>
      </w:r>
      <w:r>
        <w:rPr>
          <w:rFonts w:ascii="Arial" w:eastAsia="Arial" w:hAnsi="Arial" w:cs="Arial"/>
          <w:color w:val="000000"/>
          <w:sz w:val="24"/>
          <w:szCs w:val="24"/>
        </w:rPr>
        <w:t>enia oferty lub niezłożenia pełnych wyjaśnień, Zamawiający uprawniony będzie do odrzucenia oferty.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56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 przypadku wystąpienia podejrzenia lub/i przesłanek, które mogą wskazywać, że złożone oświadczenia lub dokumenty w ofercie są nieprawdziwe, Zamawiający może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żądać od Oferenta stosownych wyjaśnień na każdym etapie oceny oferty, również po wyborze wykonawcy oraz po podpisaniu umowy. W przypadku niezłożenia w wyznaczonym terminie pełnych wyjaśnień oraz braku udowodnienia, że informacje w złożonej ofercie są zgod</w:t>
      </w:r>
      <w:r>
        <w:rPr>
          <w:rFonts w:ascii="Arial" w:eastAsia="Arial" w:hAnsi="Arial" w:cs="Arial"/>
          <w:color w:val="000000"/>
          <w:sz w:val="24"/>
          <w:szCs w:val="24"/>
        </w:rPr>
        <w:t>ne z prawdą, Zamawiający ma prawo do odrzucenia oferty, a także do rozwiązania umowy na etapie jej realizacji.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" w:line="360" w:lineRule="auto"/>
        <w:ind w:right="113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Zamawiający, w celu ustalenia, czy oferta zawiera rażąco niską cenę w stosunku do przedmiotu zamówienia, może zwracać się do wykonawcy o udzielen</w:t>
      </w:r>
      <w:r>
        <w:rPr>
          <w:rFonts w:ascii="Arial" w:eastAsia="Arial" w:hAnsi="Arial" w:cs="Arial"/>
          <w:color w:val="000000"/>
          <w:sz w:val="24"/>
          <w:szCs w:val="24"/>
        </w:rPr>
        <w:t>ie w określonym terminie wyjaśnień dotyczących elementów oferty mających wpływ na wysokość ceny.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4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  <w:sectPr w:rsidR="00871939">
          <w:pgSz w:w="16840" w:h="11910" w:orient="landscape"/>
          <w:pgMar w:top="1240" w:right="1300" w:bottom="1200" w:left="1300" w:header="297" w:footer="1002" w:gutter="0"/>
          <w:cols w:space="708"/>
        </w:sectPr>
      </w:pPr>
      <w:r>
        <w:rPr>
          <w:rFonts w:ascii="Arial" w:eastAsia="Arial" w:hAnsi="Arial" w:cs="Arial"/>
          <w:color w:val="000000"/>
          <w:sz w:val="24"/>
          <w:szCs w:val="24"/>
        </w:rPr>
        <w:t>Zamawiający, oceniając wyjaśnienia, będzie brał m.in. pod uwagę obiektywne czynniki, w szczególności oszczędność metody wykonania zamówienia, wybrane rozwiązania techniczne, wyjątkowo sprzyjające warunki wykonania zamówienia, wybrane rozwiązania techniczne</w:t>
      </w:r>
      <w:r>
        <w:rPr>
          <w:rFonts w:ascii="Arial" w:eastAsia="Arial" w:hAnsi="Arial" w:cs="Arial"/>
          <w:color w:val="000000"/>
          <w:sz w:val="24"/>
          <w:szCs w:val="24"/>
        </w:rPr>
        <w:t>, wyjątkowo sprzyjające warunki wykonywania zamówienia dostępne dla wykonawcy, oryginalność projektu wykonawcy (a także przedstawione dowody).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4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Zamawiający, oceniając wyjaśnienia, będzie brał m.in. pod uwagę obiektywne czynniki, w szczególności oszczędność </w:t>
      </w:r>
      <w:r>
        <w:rPr>
          <w:rFonts w:ascii="Arial" w:eastAsia="Arial" w:hAnsi="Arial" w:cs="Arial"/>
          <w:color w:val="000000"/>
          <w:sz w:val="24"/>
          <w:szCs w:val="24"/>
        </w:rPr>
        <w:t>metody wykonania zamówienia, wybrane rozwiązania techniczne, wyjątkowo sprzyjające warunki wykonania zamówienia, wybrane rozwiązania techniczne, wyjątkowo sprzyjające warunki wykonywania zamówienia dostępne dla wykonawcy, oryginalność projektu wykonawcy (a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także przedstawione dowody).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 tytułu odrzucenia oferty, oferentowi nie przysługuje żadne roszczenie w stosunku do Zamawiającego.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2" w:line="360" w:lineRule="auto"/>
        <w:ind w:right="11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Podana cena w ofercie stanowi cenę ryczałtową i obejmuje wszystkie koszty niezbędne do należytego wykonania niniejszego zamów</w:t>
      </w:r>
      <w:r>
        <w:rPr>
          <w:rFonts w:ascii="Arial" w:eastAsia="Arial" w:hAnsi="Arial" w:cs="Arial"/>
          <w:color w:val="000000"/>
          <w:sz w:val="24"/>
          <w:szCs w:val="24"/>
        </w:rPr>
        <w:t>ienia. Podana cena ofertowa będzie niezmienna przez cały okres obowiązywania umowy.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"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Podana cena w ofercie jest ceną brutto i musi być podana w polskich złotych (PLN) liczbowo oraz słownie.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Oferowaną cenę ryczałtową brutto wpisaną do formularza oferty należy wyliczyć w szczególności w oparciu o: dokumentację projektową, aktualne, powszechne stosowane katalogi, cenniki, taryfikatory bądź inne wskaźniki kosztów, dane przedstawione w Ogłoszeniu,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w tym wynikające z istotnych postanowień umowy, opis przedmiotu zamówienia, jego zakres, ewentualną wizję lokalną, koszty wykonania w okresie udzielonej przez Wykonawcę gwarancji wymaganych przeglądów gwarancyjnych, koszty ubezpieczenia OC, koszty związan</w:t>
      </w:r>
      <w:r>
        <w:rPr>
          <w:rFonts w:ascii="Arial" w:eastAsia="Arial" w:hAnsi="Arial" w:cs="Arial"/>
          <w:color w:val="000000"/>
          <w:sz w:val="24"/>
          <w:szCs w:val="24"/>
        </w:rPr>
        <w:t>e z obowiązującymi przy wykonaniu zamówienia przepisami prawa w tym koszty należnego podatku od towarów i usług VAT, jak również koszty wynikające z wszelkich upustów i rabatów. W przypadku różnic pomiędzy projektem wykonawczym/budowlanym a specyfikacją te</w:t>
      </w:r>
      <w:r>
        <w:rPr>
          <w:rFonts w:ascii="Arial" w:eastAsia="Arial" w:hAnsi="Arial" w:cs="Arial"/>
          <w:color w:val="000000"/>
          <w:sz w:val="24"/>
          <w:szCs w:val="24"/>
        </w:rPr>
        <w:t>chniczną wykonania i odbioru robót budowlanych, podstawą do określenia ceny jest dokument zawierający większy zakres robót.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Przedmiary robót mają charakter wyłącznie pomocniczy przy wycenie oferty. Wykonawca nie będzie się ubiegał o wynagrodzenie za roboty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niezbędne do wykonania i nie ujęte w załączonych przedmiarach.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Wykonawca określając wynagrodzenie zobowiązany jest do bardzo starannego zapoznania się z przedmiotem zamówienia, warunkami wykonania i wszystkimi czynnikami mogącymi mieć wpływ na cenę zamówienia.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Podana w ofercie kwota brutto obejmuje wszelkie koszty zwi</w:t>
      </w:r>
      <w:r>
        <w:rPr>
          <w:rFonts w:ascii="Arial" w:eastAsia="Arial" w:hAnsi="Arial" w:cs="Arial"/>
          <w:color w:val="000000"/>
          <w:sz w:val="24"/>
          <w:szCs w:val="24"/>
        </w:rPr>
        <w:t>ązane z realizacją zamówienia w tym m.in. ewentualny podatek VAT i/lub wszystkie obciążenia z tytułu ubezpieczeń społecznych, ubezpieczeń zdrowotnych, funduszu pracy i innych – jeżeli wystąpi obowiązek ich zapłacenia.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2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Zamawiający z wynagrodzenia brutto Wyk</w:t>
      </w:r>
      <w:r>
        <w:rPr>
          <w:rFonts w:ascii="Arial" w:eastAsia="Arial" w:hAnsi="Arial" w:cs="Arial"/>
          <w:color w:val="000000"/>
          <w:sz w:val="24"/>
          <w:szCs w:val="24"/>
        </w:rPr>
        <w:t>onawcy, w razie konieczności, potrąci zaliczkę na podatek dochodowy jak również składki ZUS wymagane zgodnie z obowiązującymi przepisami.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56" w:line="360" w:lineRule="auto"/>
        <w:ind w:right="119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Terminem rozpoczęcia realizacji zamówienia jest data podpisania umowy z Wykonawcą, a terminem zakończenia data protokołu odbioru końcowego zamówienia podpisana przez Zamawiającego.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Ewentualne roboty zamienne, które wystąpią podczas procesu realizacji zamów</w:t>
      </w:r>
      <w:r>
        <w:rPr>
          <w:rFonts w:ascii="Arial" w:eastAsia="Arial" w:hAnsi="Arial" w:cs="Arial"/>
          <w:color w:val="000000"/>
          <w:sz w:val="24"/>
          <w:szCs w:val="24"/>
        </w:rPr>
        <w:t>ienia muszą zostać wykonane w ramach zaoferowanej ceny ryczałtowej oraz wymagają zgody Zamawiającego.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Przyjmuje się, że robotami zamiennymi są roboty ujęte w dokumentacji projektowej i przedmiarze robót, w szczególności przewidziane do wykonania wg opisane</w:t>
      </w:r>
      <w:r>
        <w:rPr>
          <w:rFonts w:ascii="Arial" w:eastAsia="Arial" w:hAnsi="Arial" w:cs="Arial"/>
          <w:color w:val="000000"/>
          <w:sz w:val="24"/>
          <w:szCs w:val="24"/>
        </w:rPr>
        <w:t>j technologii i z konkretnych materiałów i urządzeń, lecz za zgodą projektanta i zamawiającego wykonane w innej technologii, z innych materiałów i przy zastosowaniu innych urządzeń.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Ewentualne roboty, które nie zostały zawarte w dokumentacji technicznej i przedmiarach robót oraz wszelkich dokumentach związanych z niniejszym zapytaniem ofertowym, a są naturalną konsekwencją procesu budowlanego i w naturalny sposób z niego wynikają, uzn</w:t>
      </w:r>
      <w:r>
        <w:rPr>
          <w:rFonts w:ascii="Arial" w:eastAsia="Arial" w:hAnsi="Arial" w:cs="Arial"/>
          <w:color w:val="000000"/>
          <w:sz w:val="24"/>
          <w:szCs w:val="24"/>
        </w:rPr>
        <w:t>aje się, że wykonawca robót dysponując dokumentacją techniczną powinien przewidzieć je jako konieczne do wykonania mimo, że dokumentacja techniczna literalnie ich nie wymienia. De facto roboty te są ściśle związane z przedmiotem zamówienia. Wynika to z zaw</w:t>
      </w:r>
      <w:r>
        <w:rPr>
          <w:rFonts w:ascii="Arial" w:eastAsia="Arial" w:hAnsi="Arial" w:cs="Arial"/>
          <w:color w:val="000000"/>
          <w:sz w:val="24"/>
          <w:szCs w:val="24"/>
        </w:rPr>
        <w:t>odowego charakteru wykonywanych przez wykonawcę robót budowlanych czynności i przypisanego do nich określonego poziomu wiedzy i doświadczenia zawodowego. Tego typu roboty muszą zostać zrealizowane w ramach zaoferowanej ceny ryczałtowej.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 roboty dodatkowe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nie można uznać robót, które wynikają z wykonania większych ilości robót, niż to wynika z kosztorysu ofertowego opracowanego na podstawie przedmiaru robót wskazanego na etapie zapytania ofertowego, gdyż w istocie to roboty, które stanowią przedmiot zamówi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enia. W interesie Wykonawcy leży własna ocena przedstawionych przedmiarów w stosunku do wskazanej dokumentacji technicznej oraz uwzględnienie wszelkich innych okoliczności które mogą mieć wpływ na cenę. Takie roboty Wykonawca ma obowiązek wykonać w ramach </w:t>
      </w:r>
      <w:r>
        <w:rPr>
          <w:rFonts w:ascii="Arial" w:eastAsia="Arial" w:hAnsi="Arial" w:cs="Arial"/>
          <w:color w:val="000000"/>
          <w:sz w:val="24"/>
          <w:szCs w:val="24"/>
        </w:rPr>
        <w:t>oferowanej ceny ryczałtowej.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Wszelkie ewentualne kosztorysy wykonywane w trakcie prowadzonych robót w przypadku wystąpienia ewentualnych robót zamiennych lub dodatkowych, których nie da się oszacować na etapie przygotowania oferty leżą po stronie Wykonawcy</w:t>
      </w:r>
    </w:p>
    <w:p w:rsidR="00871939" w:rsidRDefault="00871939">
      <w:pPr>
        <w:tabs>
          <w:tab w:val="left" w:pos="400"/>
        </w:tabs>
        <w:spacing w:line="360" w:lineRule="auto"/>
        <w:ind w:right="111"/>
        <w:jc w:val="both"/>
        <w:rPr>
          <w:rFonts w:ascii="Arial" w:eastAsia="Arial" w:hAnsi="Arial" w:cs="Arial"/>
          <w:sz w:val="24"/>
          <w:szCs w:val="24"/>
        </w:rPr>
      </w:pP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56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 podpisaniu umowy wykonawca dostarczy harmonogram rzeczowo-finansowy wypełniony zgodnie z wymaganiami Zamawiającego. Harmonogram rzeczowo-finansowy musi zostać zaakceptowany przez obie strony umowy tj. Zamawiającego i Wykonawcę. Wypłata wynagrodzenia n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astąpi w oparciu o faktury wystawione przez Wykonawcę po zakończeniu poszczególnych etapów budowy wynikających z harmonogramu rzeczowo-finansowego. Etap budowy uznaje się za zakończony na podstawie zapisów robót w dzienniku budowy, zatwierdzonych wpisem w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dzienniku budowy przez inspektora nadzoru inwestorskiego, który odbiera w imieniu Zamawiającego wykonanie robót zgodnie z obowiązującymi przepisami i zgodnie z dokumentacją projektową. 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line="360" w:lineRule="auto"/>
        <w:ind w:hanging="285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Jeżeli Wykonawca realizuje przedmiot umowy przy udziale podwykonawców, to mają zastosowanie następujące postanowienia:</w:t>
      </w:r>
    </w:p>
    <w:p w:rsidR="00871939" w:rsidRDefault="00185CEA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18" w:line="360" w:lineRule="auto"/>
        <w:ind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Podział wynagrodzenia dla poszczególnych podwykonawców będzie przedmiotem rozliczeń pomiędzy nimi a Wykonawcą.</w:t>
      </w:r>
    </w:p>
    <w:p w:rsidR="00871939" w:rsidRDefault="00185CEA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683"/>
        </w:tabs>
        <w:spacing w:before="22" w:line="360" w:lineRule="auto"/>
        <w:ind w:hanging="284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 działania i zaniedbania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podwykonawców, Wykonawca ponosi odpowiedzialność względem Zamawiającego jak za postępowanie własne.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Zamawiający dopuszcza możliwość powołania się na zasoby podmiotu trzeciego w zakresie spełnienia warunków udziału w postępowaniu. W przypadku powołania się na zasoby podmiotu trzeciego w zakresie spełnienia warunku udziału w postępowaniu dotyczącego doświa</w:t>
      </w:r>
      <w:r>
        <w:rPr>
          <w:rFonts w:ascii="Arial" w:eastAsia="Arial" w:hAnsi="Arial" w:cs="Arial"/>
          <w:color w:val="000000"/>
          <w:sz w:val="24"/>
          <w:szCs w:val="24"/>
        </w:rPr>
        <w:t>dczenia (pkt. f) może to nastąpić, pod warunkiem, że podmiot trzeci będzie wykonywał roboty do realizacji których te zdolności (doświadczenie) są wymagane np. w charakterze podwykonawcy. W takiej sytuacji Zamawiający wymaga dodatkowo przedstawienia w ramac</w:t>
      </w:r>
      <w:r>
        <w:rPr>
          <w:rFonts w:ascii="Arial" w:eastAsia="Arial" w:hAnsi="Arial" w:cs="Arial"/>
          <w:color w:val="000000"/>
          <w:sz w:val="24"/>
          <w:szCs w:val="24"/>
        </w:rPr>
        <w:t>h oferty zobowiązania podmiotu trzeciego do oddania zasobów na potrzeby realizacji przedmiotowego zamówienia.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397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Beneficjent  oświadcza, że  rozstrzyganie  ewentualnych sporów w relacjach z wykonawcami o roszczenia cywilnoprawne w sprawach, w których zawarcie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ugody jest dopuszczalne, poddane będzie mediacjom lub innemu polubownemu rozwiązaniu sporu przed Sądem Polubownym przy Prokuratorii Generalnej Rzeczypospolitej Polskiej, wybranym mediatorem albo osobą prowadzącą inne polubowne rozwiązanie sporu. Złożenie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oferty przez </w:t>
      </w:r>
    </w:p>
    <w:p w:rsidR="00871939" w:rsidRDefault="00185CEA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right="111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W przypadku wystąpienia zagadnienia dot. udostępnienia zasobów Zamawiający będzie się kierował zapisami ustawy z dnia 11 </w:t>
      </w: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września 2019 r. Prawo zamówień publicznych (Dz. U. z 2019 r. poz. 2019 z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późn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. zm.) w zakresie udostępnienia zasobów (od</w:t>
      </w:r>
      <w:r>
        <w:rPr>
          <w:rFonts w:ascii="Arial" w:eastAsia="Arial" w:hAnsi="Arial" w:cs="Arial"/>
          <w:color w:val="000000"/>
          <w:sz w:val="24"/>
          <w:szCs w:val="24"/>
        </w:rPr>
        <w:t>dział 3, udostępnianie zasobów).</w:t>
      </w:r>
    </w:p>
    <w:p w:rsidR="00871939" w:rsidRDefault="00185CEA">
      <w:pPr>
        <w:spacing w:line="360" w:lineRule="auto"/>
        <w:ind w:left="720"/>
        <w:jc w:val="both"/>
        <w:rPr>
          <w:rFonts w:ascii="Arial" w:eastAsia="Arial" w:hAnsi="Arial" w:cs="Arial"/>
          <w:sz w:val="24"/>
          <w:szCs w:val="24"/>
        </w:rPr>
        <w:sectPr w:rsidR="00871939">
          <w:pgSz w:w="16840" w:h="11910" w:orient="landscape"/>
          <w:pgMar w:top="1240" w:right="1300" w:bottom="1200" w:left="1300" w:header="297" w:footer="1002" w:gutter="0"/>
          <w:cols w:space="708"/>
        </w:sect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10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before="56"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LISTA DOKUMENTÓW/OŚWIADCZEŃ WYMA</w:t>
      </w:r>
      <w:r>
        <w:rPr>
          <w:rFonts w:ascii="Arial" w:eastAsia="Arial" w:hAnsi="Arial" w:cs="Arial"/>
          <w:sz w:val="24"/>
          <w:szCs w:val="24"/>
        </w:rPr>
        <w:t>GANYCH OD WYKONAWCY</w:t>
      </w:r>
    </w:p>
    <w:p w:rsidR="00871939" w:rsidRDefault="00185CE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4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Oferta zgodna stanowiącym załącznik 1 do zapytania ofertowego.</w:t>
      </w:r>
    </w:p>
    <w:p w:rsidR="00871939" w:rsidRDefault="00185CE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Oświadczenie o braku powiązań kapitałowych i osobowych zgodnie ze wzorem stanowiącym załącznik 3 do zapytania ofertowego.</w:t>
      </w:r>
    </w:p>
    <w:p w:rsidR="00871939" w:rsidRDefault="00185CE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9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Szczegółowy kosztorys ofertowy robót budowlanych.</w:t>
      </w:r>
    </w:p>
    <w:p w:rsidR="00871939" w:rsidRDefault="00185CE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Aktualne Zaświadczenie o niezaleganiu w podatkach wobec Urzędu Skarbowego oraz aktualne Zaświadczenie o niezaleganiu w opłacaniu składek ZUS.</w:t>
      </w:r>
    </w:p>
    <w:p w:rsidR="00871939" w:rsidRDefault="00185CEA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Kopia polisy ubezpieczenia OC działalności gospodarczej.</w:t>
      </w:r>
    </w:p>
    <w:p w:rsidR="00871939" w:rsidRDefault="00871939">
      <w:pPr>
        <w:pBdr>
          <w:top w:val="nil"/>
          <w:left w:val="nil"/>
          <w:bottom w:val="nil"/>
          <w:right w:val="nil"/>
          <w:between w:val="nil"/>
        </w:pBdr>
        <w:spacing w:before="8" w:line="36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871939" w:rsidRDefault="00185CEA">
      <w:pPr>
        <w:pStyle w:val="Nagwek1"/>
        <w:spacing w:line="360" w:lineRule="auto"/>
        <w:ind w:firstLine="11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ZAŁĄCZNIKI</w:t>
      </w:r>
    </w:p>
    <w:p w:rsidR="00871939" w:rsidRDefault="00185CE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139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Formularz oferty.</w:t>
      </w:r>
    </w:p>
    <w:p w:rsidR="00871939" w:rsidRDefault="00185CE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Oświadczenie o braku powiązań kapitałowych i osobowych.</w:t>
      </w:r>
    </w:p>
    <w:p w:rsidR="00871939" w:rsidRDefault="00185CE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Klauzula dotycząca ochrony danych osobowych zgodnie z RODO.</w:t>
      </w:r>
    </w:p>
    <w:p w:rsidR="00871939" w:rsidRDefault="00185CE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Zaświadczenie o wykonaniu wizji lokalnej przy zabytku.</w:t>
      </w:r>
    </w:p>
    <w:p w:rsidR="00871939" w:rsidRDefault="00185CE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hanging="285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Wzór umowy.</w:t>
      </w:r>
    </w:p>
    <w:p w:rsidR="00871939" w:rsidRDefault="00185CEA">
      <w:pPr>
        <w:pBdr>
          <w:top w:val="nil"/>
          <w:left w:val="nil"/>
          <w:bottom w:val="nil"/>
          <w:right w:val="nil"/>
          <w:between w:val="nil"/>
        </w:pBdr>
        <w:tabs>
          <w:tab w:val="left" w:pos="400"/>
        </w:tabs>
        <w:spacing w:before="22" w:line="360" w:lineRule="auto"/>
        <w:ind w:left="399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                                                                                                                    /-/ Marcin Dobrowolski</w:t>
      </w:r>
    </w:p>
    <w:sectPr w:rsidR="00871939">
      <w:pgSz w:w="16840" w:h="11910" w:orient="landscape"/>
      <w:pgMar w:top="1240" w:right="1300" w:bottom="1200" w:left="1300" w:header="297" w:footer="1002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CEA" w:rsidRDefault="00185CEA">
      <w:r>
        <w:separator/>
      </w:r>
    </w:p>
  </w:endnote>
  <w:endnote w:type="continuationSeparator" w:id="0">
    <w:p w:rsidR="00185CEA" w:rsidRDefault="00185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lay"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witzer Cnd TT EFN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39" w:rsidRDefault="00185CEA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hidden="0" allowOverlap="1">
              <wp:simplePos x="0" y="0"/>
              <wp:positionH relativeFrom="column">
                <wp:posOffset>8890000</wp:posOffset>
              </wp:positionH>
              <wp:positionV relativeFrom="paragraph">
                <wp:posOffset>6769100</wp:posOffset>
              </wp:positionV>
              <wp:extent cx="229235" cy="175260"/>
              <wp:effectExtent l="0" t="0" r="0" b="0"/>
              <wp:wrapNone/>
              <wp:docPr id="3" name="Dowolny kształt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6061645" y="3697133"/>
                        <a:ext cx="219710" cy="1657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19710" h="165735" extrusionOk="0">
                            <a:moveTo>
                              <a:pt x="0" y="0"/>
                            </a:moveTo>
                            <a:lnTo>
                              <a:pt x="0" y="165735"/>
                            </a:lnTo>
                            <a:lnTo>
                              <a:pt x="219710" y="165735"/>
                            </a:lnTo>
                            <a:lnTo>
                              <a:pt x="21971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:rsidR="00871939" w:rsidRDefault="00185CEA">
                          <w:pPr>
                            <w:spacing w:line="245" w:lineRule="auto"/>
                            <w:ind w:left="60"/>
                            <w:textDirection w:val="btLr"/>
                          </w:pPr>
                          <w:r>
                            <w:rPr>
                              <w:color w:val="000000"/>
                              <w:sz w:val="28"/>
                            </w:rPr>
                            <w:t xml:space="preserve"> PAGE 1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w16cid="http://schemas.microsoft.com/office/word/2016/wordml/cid" xmlns:w16cex="http://schemas.microsoft.com/office/word/2018/wordml/cex" xmlns:w16="http://schemas.microsoft.com/office/word/2018/wordml" xmlns:w15="http://schemas.microsoft.com/office/word/2012/wordml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0" distT="0" distL="114300" distR="114300" hidden="0" layoutInCell="1" locked="0" relativeHeight="0" simplePos="0">
              <wp:simplePos x="0" y="0"/>
              <wp:positionH relativeFrom="column">
                <wp:posOffset>8890000</wp:posOffset>
              </wp:positionH>
              <wp:positionV relativeFrom="paragraph">
                <wp:posOffset>6769100</wp:posOffset>
              </wp:positionV>
              <wp:extent cx="229235" cy="175260"/>
              <wp:effectExtent b="0" l="0" r="0" t="0"/>
              <wp:wrapNone/>
              <wp:docPr id="3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9235" cy="17526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CEA" w:rsidRDefault="00185CEA">
      <w:r>
        <w:separator/>
      </w:r>
    </w:p>
  </w:footnote>
  <w:footnote w:type="continuationSeparator" w:id="0">
    <w:p w:rsidR="00185CEA" w:rsidRDefault="00185C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939" w:rsidRDefault="00871939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3789"/>
    <w:multiLevelType w:val="multilevel"/>
    <w:tmpl w:val="994224A6"/>
    <w:lvl w:ilvl="0">
      <w:start w:val="1"/>
      <w:numFmt w:val="lowerLetter"/>
      <w:lvlText w:val="%1."/>
      <w:lvlJc w:val="left"/>
      <w:pPr>
        <w:ind w:left="399" w:hanging="284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540" w:hanging="284"/>
      </w:pPr>
    </w:lvl>
    <w:lvl w:ilvl="2">
      <w:numFmt w:val="bullet"/>
      <w:lvlText w:val="•"/>
      <w:lvlJc w:val="left"/>
      <w:pPr>
        <w:ind w:left="2062" w:hanging="284"/>
      </w:pPr>
    </w:lvl>
    <w:lvl w:ilvl="3">
      <w:numFmt w:val="bullet"/>
      <w:lvlText w:val="•"/>
      <w:lvlJc w:val="left"/>
      <w:pPr>
        <w:ind w:left="3584" w:hanging="284"/>
      </w:pPr>
    </w:lvl>
    <w:lvl w:ilvl="4">
      <w:numFmt w:val="bullet"/>
      <w:lvlText w:val="•"/>
      <w:lvlJc w:val="left"/>
      <w:pPr>
        <w:ind w:left="5106" w:hanging="284"/>
      </w:pPr>
    </w:lvl>
    <w:lvl w:ilvl="5">
      <w:numFmt w:val="bullet"/>
      <w:lvlText w:val="•"/>
      <w:lvlJc w:val="left"/>
      <w:pPr>
        <w:ind w:left="6628" w:hanging="284"/>
      </w:pPr>
    </w:lvl>
    <w:lvl w:ilvl="6">
      <w:numFmt w:val="bullet"/>
      <w:lvlText w:val="•"/>
      <w:lvlJc w:val="left"/>
      <w:pPr>
        <w:ind w:left="8150" w:hanging="284"/>
      </w:pPr>
    </w:lvl>
    <w:lvl w:ilvl="7">
      <w:numFmt w:val="bullet"/>
      <w:lvlText w:val="•"/>
      <w:lvlJc w:val="left"/>
      <w:pPr>
        <w:ind w:left="9672" w:hanging="284"/>
      </w:pPr>
    </w:lvl>
    <w:lvl w:ilvl="8">
      <w:numFmt w:val="bullet"/>
      <w:lvlText w:val="•"/>
      <w:lvlJc w:val="left"/>
      <w:pPr>
        <w:ind w:left="11194" w:hanging="284"/>
      </w:pPr>
    </w:lvl>
  </w:abstractNum>
  <w:abstractNum w:abstractNumId="1">
    <w:nsid w:val="0FD16E58"/>
    <w:multiLevelType w:val="multilevel"/>
    <w:tmpl w:val="DC182466"/>
    <w:lvl w:ilvl="0">
      <w:start w:val="1"/>
      <w:numFmt w:val="decimal"/>
      <w:lvlText w:val="%1."/>
      <w:lvlJc w:val="left"/>
      <w:pPr>
        <w:ind w:left="399" w:hanging="284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lowerLetter"/>
      <w:lvlText w:val="%2)"/>
      <w:lvlJc w:val="left"/>
      <w:pPr>
        <w:ind w:left="682" w:hanging="283"/>
      </w:pPr>
      <w:rPr>
        <w:rFonts w:ascii="Calibri" w:eastAsia="Calibri" w:hAnsi="Calibri" w:cs="Calibri"/>
        <w:b/>
        <w:sz w:val="22"/>
        <w:szCs w:val="22"/>
      </w:rPr>
    </w:lvl>
    <w:lvl w:ilvl="2">
      <w:numFmt w:val="bullet"/>
      <w:lvlText w:val="•"/>
      <w:lvlJc w:val="left"/>
      <w:pPr>
        <w:ind w:left="2186" w:hanging="284"/>
      </w:pPr>
    </w:lvl>
    <w:lvl w:ilvl="3">
      <w:numFmt w:val="bullet"/>
      <w:lvlText w:val="•"/>
      <w:lvlJc w:val="left"/>
      <w:pPr>
        <w:ind w:left="3692" w:hanging="284"/>
      </w:pPr>
    </w:lvl>
    <w:lvl w:ilvl="4">
      <w:numFmt w:val="bullet"/>
      <w:lvlText w:val="•"/>
      <w:lvlJc w:val="left"/>
      <w:pPr>
        <w:ind w:left="5199" w:hanging="284"/>
      </w:pPr>
    </w:lvl>
    <w:lvl w:ilvl="5">
      <w:numFmt w:val="bullet"/>
      <w:lvlText w:val="•"/>
      <w:lvlJc w:val="left"/>
      <w:pPr>
        <w:ind w:left="6705" w:hanging="284"/>
      </w:pPr>
    </w:lvl>
    <w:lvl w:ilvl="6">
      <w:numFmt w:val="bullet"/>
      <w:lvlText w:val="•"/>
      <w:lvlJc w:val="left"/>
      <w:pPr>
        <w:ind w:left="8212" w:hanging="283"/>
      </w:pPr>
    </w:lvl>
    <w:lvl w:ilvl="7">
      <w:numFmt w:val="bullet"/>
      <w:lvlText w:val="•"/>
      <w:lvlJc w:val="left"/>
      <w:pPr>
        <w:ind w:left="9718" w:hanging="284"/>
      </w:pPr>
    </w:lvl>
    <w:lvl w:ilvl="8">
      <w:numFmt w:val="bullet"/>
      <w:lvlText w:val="•"/>
      <w:lvlJc w:val="left"/>
      <w:pPr>
        <w:ind w:left="11225" w:hanging="284"/>
      </w:pPr>
    </w:lvl>
  </w:abstractNum>
  <w:abstractNum w:abstractNumId="2">
    <w:nsid w:val="100662A8"/>
    <w:multiLevelType w:val="multilevel"/>
    <w:tmpl w:val="478A0E8A"/>
    <w:lvl w:ilvl="0">
      <w:start w:val="1"/>
      <w:numFmt w:val="decimal"/>
      <w:lvlText w:val="%1."/>
      <w:lvlJc w:val="left"/>
      <w:pPr>
        <w:ind w:left="399" w:hanging="284"/>
      </w:pPr>
      <w:rPr>
        <w:rFonts w:ascii="Calibri" w:eastAsia="Calibri" w:hAnsi="Calibri" w:cs="Calibri"/>
        <w:b/>
        <w:sz w:val="22"/>
        <w:szCs w:val="22"/>
      </w:rPr>
    </w:lvl>
    <w:lvl w:ilvl="1">
      <w:numFmt w:val="bullet"/>
      <w:lvlText w:val="-"/>
      <w:lvlJc w:val="left"/>
      <w:pPr>
        <w:ind w:left="517" w:hanging="118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044" w:hanging="119"/>
      </w:pPr>
    </w:lvl>
    <w:lvl w:ilvl="3">
      <w:numFmt w:val="bullet"/>
      <w:lvlText w:val="•"/>
      <w:lvlJc w:val="left"/>
      <w:pPr>
        <w:ind w:left="3568" w:hanging="118"/>
      </w:pPr>
    </w:lvl>
    <w:lvl w:ilvl="4">
      <w:numFmt w:val="bullet"/>
      <w:lvlText w:val="•"/>
      <w:lvlJc w:val="left"/>
      <w:pPr>
        <w:ind w:left="5092" w:hanging="119"/>
      </w:pPr>
    </w:lvl>
    <w:lvl w:ilvl="5">
      <w:numFmt w:val="bullet"/>
      <w:lvlText w:val="•"/>
      <w:lvlJc w:val="left"/>
      <w:pPr>
        <w:ind w:left="6617" w:hanging="118"/>
      </w:pPr>
    </w:lvl>
    <w:lvl w:ilvl="6">
      <w:numFmt w:val="bullet"/>
      <w:lvlText w:val="•"/>
      <w:lvlJc w:val="left"/>
      <w:pPr>
        <w:ind w:left="8141" w:hanging="119"/>
      </w:pPr>
    </w:lvl>
    <w:lvl w:ilvl="7">
      <w:numFmt w:val="bullet"/>
      <w:lvlText w:val="•"/>
      <w:lvlJc w:val="left"/>
      <w:pPr>
        <w:ind w:left="9665" w:hanging="119"/>
      </w:pPr>
    </w:lvl>
    <w:lvl w:ilvl="8">
      <w:numFmt w:val="bullet"/>
      <w:lvlText w:val="•"/>
      <w:lvlJc w:val="left"/>
      <w:pPr>
        <w:ind w:left="11189" w:hanging="119"/>
      </w:pPr>
    </w:lvl>
  </w:abstractNum>
  <w:abstractNum w:abstractNumId="3">
    <w:nsid w:val="17B770CF"/>
    <w:multiLevelType w:val="multilevel"/>
    <w:tmpl w:val="09C8ABE0"/>
    <w:lvl w:ilvl="0">
      <w:numFmt w:val="bullet"/>
      <w:lvlText w:val="-"/>
      <w:lvlJc w:val="left"/>
      <w:pPr>
        <w:ind w:left="836" w:hanging="361"/>
      </w:pPr>
      <w:rPr>
        <w:rFonts w:ascii="Play" w:eastAsia="Play" w:hAnsi="Play" w:cs="Play"/>
        <w:sz w:val="22"/>
        <w:szCs w:val="22"/>
      </w:rPr>
    </w:lvl>
    <w:lvl w:ilvl="1">
      <w:numFmt w:val="bullet"/>
      <w:lvlText w:val="•"/>
      <w:lvlJc w:val="left"/>
      <w:pPr>
        <w:ind w:left="2179" w:hanging="361"/>
      </w:pPr>
    </w:lvl>
    <w:lvl w:ilvl="2">
      <w:numFmt w:val="bullet"/>
      <w:lvlText w:val="•"/>
      <w:lvlJc w:val="left"/>
      <w:pPr>
        <w:ind w:left="3519" w:hanging="361"/>
      </w:pPr>
    </w:lvl>
    <w:lvl w:ilvl="3">
      <w:numFmt w:val="bullet"/>
      <w:lvlText w:val="•"/>
      <w:lvlJc w:val="left"/>
      <w:pPr>
        <w:ind w:left="4859" w:hanging="361"/>
      </w:pPr>
    </w:lvl>
    <w:lvl w:ilvl="4">
      <w:numFmt w:val="bullet"/>
      <w:lvlText w:val="•"/>
      <w:lvlJc w:val="left"/>
      <w:pPr>
        <w:ind w:left="6199" w:hanging="361"/>
      </w:pPr>
    </w:lvl>
    <w:lvl w:ilvl="5">
      <w:numFmt w:val="bullet"/>
      <w:lvlText w:val="•"/>
      <w:lvlJc w:val="left"/>
      <w:pPr>
        <w:ind w:left="7539" w:hanging="361"/>
      </w:pPr>
    </w:lvl>
    <w:lvl w:ilvl="6">
      <w:numFmt w:val="bullet"/>
      <w:lvlText w:val="•"/>
      <w:lvlJc w:val="left"/>
      <w:pPr>
        <w:ind w:left="8879" w:hanging="361"/>
      </w:pPr>
    </w:lvl>
    <w:lvl w:ilvl="7">
      <w:numFmt w:val="bullet"/>
      <w:lvlText w:val="•"/>
      <w:lvlJc w:val="left"/>
      <w:pPr>
        <w:ind w:left="10218" w:hanging="361"/>
      </w:pPr>
    </w:lvl>
    <w:lvl w:ilvl="8">
      <w:numFmt w:val="bullet"/>
      <w:lvlText w:val="•"/>
      <w:lvlJc w:val="left"/>
      <w:pPr>
        <w:ind w:left="11558" w:hanging="361"/>
      </w:pPr>
    </w:lvl>
  </w:abstractNum>
  <w:abstractNum w:abstractNumId="4">
    <w:nsid w:val="23BB6994"/>
    <w:multiLevelType w:val="multilevel"/>
    <w:tmpl w:val="2702E9FE"/>
    <w:lvl w:ilvl="0">
      <w:start w:val="1"/>
      <w:numFmt w:val="decimal"/>
      <w:lvlText w:val="%1."/>
      <w:lvlJc w:val="left"/>
      <w:pPr>
        <w:ind w:left="399" w:hanging="284"/>
      </w:pPr>
      <w:rPr>
        <w:rFonts w:ascii="Calibri" w:eastAsia="Calibri" w:hAnsi="Calibri" w:cs="Calibri"/>
        <w:b/>
        <w:sz w:val="22"/>
        <w:szCs w:val="22"/>
      </w:rPr>
    </w:lvl>
    <w:lvl w:ilvl="1">
      <w:numFmt w:val="bullet"/>
      <w:lvlText w:val="•"/>
      <w:lvlJc w:val="left"/>
      <w:pPr>
        <w:ind w:left="1783" w:hanging="284"/>
      </w:pPr>
    </w:lvl>
    <w:lvl w:ilvl="2">
      <w:numFmt w:val="bullet"/>
      <w:lvlText w:val="•"/>
      <w:lvlJc w:val="left"/>
      <w:pPr>
        <w:ind w:left="3167" w:hanging="284"/>
      </w:pPr>
    </w:lvl>
    <w:lvl w:ilvl="3">
      <w:numFmt w:val="bullet"/>
      <w:lvlText w:val="•"/>
      <w:lvlJc w:val="left"/>
      <w:pPr>
        <w:ind w:left="4551" w:hanging="284"/>
      </w:pPr>
    </w:lvl>
    <w:lvl w:ilvl="4">
      <w:numFmt w:val="bullet"/>
      <w:lvlText w:val="•"/>
      <w:lvlJc w:val="left"/>
      <w:pPr>
        <w:ind w:left="5935" w:hanging="284"/>
      </w:pPr>
    </w:lvl>
    <w:lvl w:ilvl="5">
      <w:numFmt w:val="bullet"/>
      <w:lvlText w:val="•"/>
      <w:lvlJc w:val="left"/>
      <w:pPr>
        <w:ind w:left="7319" w:hanging="284"/>
      </w:pPr>
    </w:lvl>
    <w:lvl w:ilvl="6">
      <w:numFmt w:val="bullet"/>
      <w:lvlText w:val="•"/>
      <w:lvlJc w:val="left"/>
      <w:pPr>
        <w:ind w:left="8703" w:hanging="284"/>
      </w:pPr>
    </w:lvl>
    <w:lvl w:ilvl="7">
      <w:numFmt w:val="bullet"/>
      <w:lvlText w:val="•"/>
      <w:lvlJc w:val="left"/>
      <w:pPr>
        <w:ind w:left="10086" w:hanging="284"/>
      </w:pPr>
    </w:lvl>
    <w:lvl w:ilvl="8">
      <w:numFmt w:val="bullet"/>
      <w:lvlText w:val="•"/>
      <w:lvlJc w:val="left"/>
      <w:pPr>
        <w:ind w:left="11470" w:hanging="284"/>
      </w:pPr>
    </w:lvl>
  </w:abstractNum>
  <w:abstractNum w:abstractNumId="5">
    <w:nsid w:val="24ED5D3F"/>
    <w:multiLevelType w:val="multilevel"/>
    <w:tmpl w:val="13FAA14E"/>
    <w:lvl w:ilvl="0">
      <w:start w:val="1"/>
      <w:numFmt w:val="decimal"/>
      <w:lvlText w:val="%1."/>
      <w:lvlJc w:val="left"/>
      <w:pPr>
        <w:ind w:left="399" w:hanging="284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2)"/>
      <w:lvlJc w:val="left"/>
      <w:pPr>
        <w:ind w:left="682" w:hanging="283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186" w:hanging="284"/>
      </w:pPr>
    </w:lvl>
    <w:lvl w:ilvl="3">
      <w:numFmt w:val="bullet"/>
      <w:lvlText w:val="•"/>
      <w:lvlJc w:val="left"/>
      <w:pPr>
        <w:ind w:left="3692" w:hanging="284"/>
      </w:pPr>
    </w:lvl>
    <w:lvl w:ilvl="4">
      <w:numFmt w:val="bullet"/>
      <w:lvlText w:val="•"/>
      <w:lvlJc w:val="left"/>
      <w:pPr>
        <w:ind w:left="5199" w:hanging="284"/>
      </w:pPr>
    </w:lvl>
    <w:lvl w:ilvl="5">
      <w:numFmt w:val="bullet"/>
      <w:lvlText w:val="•"/>
      <w:lvlJc w:val="left"/>
      <w:pPr>
        <w:ind w:left="6705" w:hanging="284"/>
      </w:pPr>
    </w:lvl>
    <w:lvl w:ilvl="6">
      <w:numFmt w:val="bullet"/>
      <w:lvlText w:val="•"/>
      <w:lvlJc w:val="left"/>
      <w:pPr>
        <w:ind w:left="8212" w:hanging="283"/>
      </w:pPr>
    </w:lvl>
    <w:lvl w:ilvl="7">
      <w:numFmt w:val="bullet"/>
      <w:lvlText w:val="•"/>
      <w:lvlJc w:val="left"/>
      <w:pPr>
        <w:ind w:left="9718" w:hanging="284"/>
      </w:pPr>
    </w:lvl>
    <w:lvl w:ilvl="8">
      <w:numFmt w:val="bullet"/>
      <w:lvlText w:val="•"/>
      <w:lvlJc w:val="left"/>
      <w:pPr>
        <w:ind w:left="11225" w:hanging="284"/>
      </w:pPr>
    </w:lvl>
  </w:abstractNum>
  <w:abstractNum w:abstractNumId="6">
    <w:nsid w:val="2B5C20C2"/>
    <w:multiLevelType w:val="multilevel"/>
    <w:tmpl w:val="EB42DAA2"/>
    <w:lvl w:ilvl="0">
      <w:start w:val="1"/>
      <w:numFmt w:val="decimal"/>
      <w:lvlText w:val="%1."/>
      <w:lvlJc w:val="left"/>
      <w:pPr>
        <w:ind w:left="399" w:hanging="284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425"/>
      </w:pPr>
      <w:rPr>
        <w:rFonts w:ascii="Calibri" w:eastAsia="Calibri" w:hAnsi="Calibri" w:cs="Calibri"/>
        <w:b/>
        <w:sz w:val="22"/>
        <w:szCs w:val="22"/>
      </w:rPr>
    </w:lvl>
    <w:lvl w:ilvl="2">
      <w:start w:val="1"/>
      <w:numFmt w:val="lowerLetter"/>
      <w:lvlText w:val="%3)"/>
      <w:lvlJc w:val="left"/>
      <w:pPr>
        <w:ind w:left="1249" w:hanging="280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-"/>
      <w:lvlJc w:val="left"/>
      <w:pPr>
        <w:ind w:left="1534" w:hanging="286"/>
      </w:pPr>
      <w:rPr>
        <w:rFonts w:ascii="Play" w:eastAsia="Play" w:hAnsi="Play" w:cs="Play"/>
        <w:sz w:val="22"/>
        <w:szCs w:val="22"/>
      </w:rPr>
    </w:lvl>
    <w:lvl w:ilvl="4">
      <w:numFmt w:val="bullet"/>
      <w:lvlText w:val="•"/>
      <w:lvlJc w:val="left"/>
      <w:pPr>
        <w:ind w:left="3354" w:hanging="286"/>
      </w:pPr>
    </w:lvl>
    <w:lvl w:ilvl="5">
      <w:numFmt w:val="bullet"/>
      <w:lvlText w:val="•"/>
      <w:lvlJc w:val="left"/>
      <w:pPr>
        <w:ind w:left="5168" w:hanging="286"/>
      </w:pPr>
    </w:lvl>
    <w:lvl w:ilvl="6">
      <w:numFmt w:val="bullet"/>
      <w:lvlText w:val="•"/>
      <w:lvlJc w:val="left"/>
      <w:pPr>
        <w:ind w:left="6982" w:hanging="286"/>
      </w:pPr>
    </w:lvl>
    <w:lvl w:ilvl="7">
      <w:numFmt w:val="bullet"/>
      <w:lvlText w:val="•"/>
      <w:lvlJc w:val="left"/>
      <w:pPr>
        <w:ind w:left="8796" w:hanging="286"/>
      </w:pPr>
    </w:lvl>
    <w:lvl w:ilvl="8">
      <w:numFmt w:val="bullet"/>
      <w:lvlText w:val="•"/>
      <w:lvlJc w:val="left"/>
      <w:pPr>
        <w:ind w:left="10610" w:hanging="286"/>
      </w:pPr>
    </w:lvl>
  </w:abstractNum>
  <w:abstractNum w:abstractNumId="7">
    <w:nsid w:val="32BB5B62"/>
    <w:multiLevelType w:val="multilevel"/>
    <w:tmpl w:val="F6C448FC"/>
    <w:lvl w:ilvl="0">
      <w:start w:val="1"/>
      <w:numFmt w:val="lowerLetter"/>
      <w:lvlText w:val="%1)"/>
      <w:lvlJc w:val="left"/>
      <w:pPr>
        <w:ind w:left="449" w:hanging="334"/>
      </w:pPr>
      <w:rPr>
        <w:rFonts w:ascii="Calibri" w:eastAsia="Calibri" w:hAnsi="Calibri" w:cs="Calibri"/>
        <w:i/>
        <w:sz w:val="22"/>
        <w:szCs w:val="22"/>
      </w:rPr>
    </w:lvl>
    <w:lvl w:ilvl="1">
      <w:numFmt w:val="bullet"/>
      <w:lvlText w:val="•"/>
      <w:lvlJc w:val="left"/>
      <w:pPr>
        <w:ind w:left="1819" w:hanging="334"/>
      </w:pPr>
    </w:lvl>
    <w:lvl w:ilvl="2">
      <w:numFmt w:val="bullet"/>
      <w:lvlText w:val="•"/>
      <w:lvlJc w:val="left"/>
      <w:pPr>
        <w:ind w:left="3199" w:hanging="334"/>
      </w:pPr>
    </w:lvl>
    <w:lvl w:ilvl="3">
      <w:numFmt w:val="bullet"/>
      <w:lvlText w:val="•"/>
      <w:lvlJc w:val="left"/>
      <w:pPr>
        <w:ind w:left="4579" w:hanging="334"/>
      </w:pPr>
    </w:lvl>
    <w:lvl w:ilvl="4">
      <w:numFmt w:val="bullet"/>
      <w:lvlText w:val="•"/>
      <w:lvlJc w:val="left"/>
      <w:pPr>
        <w:ind w:left="5959" w:hanging="334"/>
      </w:pPr>
    </w:lvl>
    <w:lvl w:ilvl="5">
      <w:numFmt w:val="bullet"/>
      <w:lvlText w:val="•"/>
      <w:lvlJc w:val="left"/>
      <w:pPr>
        <w:ind w:left="7339" w:hanging="334"/>
      </w:pPr>
    </w:lvl>
    <w:lvl w:ilvl="6">
      <w:numFmt w:val="bullet"/>
      <w:lvlText w:val="•"/>
      <w:lvlJc w:val="left"/>
      <w:pPr>
        <w:ind w:left="8719" w:hanging="334"/>
      </w:pPr>
    </w:lvl>
    <w:lvl w:ilvl="7">
      <w:numFmt w:val="bullet"/>
      <w:lvlText w:val="•"/>
      <w:lvlJc w:val="left"/>
      <w:pPr>
        <w:ind w:left="10098" w:hanging="334"/>
      </w:pPr>
    </w:lvl>
    <w:lvl w:ilvl="8">
      <w:numFmt w:val="bullet"/>
      <w:lvlText w:val="•"/>
      <w:lvlJc w:val="left"/>
      <w:pPr>
        <w:ind w:left="11478" w:hanging="334"/>
      </w:pPr>
    </w:lvl>
  </w:abstractNum>
  <w:abstractNum w:abstractNumId="8">
    <w:nsid w:val="3AAA565F"/>
    <w:multiLevelType w:val="multilevel"/>
    <w:tmpl w:val="91B2ECB2"/>
    <w:lvl w:ilvl="0">
      <w:start w:val="1"/>
      <w:numFmt w:val="decimal"/>
      <w:lvlText w:val="%1."/>
      <w:lvlJc w:val="left"/>
      <w:pPr>
        <w:ind w:left="399" w:hanging="284"/>
      </w:pPr>
      <w:rPr>
        <w:rFonts w:ascii="Calibri" w:eastAsia="Calibri" w:hAnsi="Calibri" w:cs="Calibri"/>
        <w:b/>
        <w:sz w:val="22"/>
        <w:szCs w:val="22"/>
      </w:rPr>
    </w:lvl>
    <w:lvl w:ilvl="1">
      <w:numFmt w:val="bullet"/>
      <w:lvlText w:val="•"/>
      <w:lvlJc w:val="left"/>
      <w:pPr>
        <w:ind w:left="520" w:hanging="284"/>
      </w:pPr>
    </w:lvl>
    <w:lvl w:ilvl="2">
      <w:numFmt w:val="bullet"/>
      <w:lvlText w:val="•"/>
      <w:lvlJc w:val="left"/>
      <w:pPr>
        <w:ind w:left="2044" w:hanging="284"/>
      </w:pPr>
    </w:lvl>
    <w:lvl w:ilvl="3">
      <w:numFmt w:val="bullet"/>
      <w:lvlText w:val="•"/>
      <w:lvlJc w:val="left"/>
      <w:pPr>
        <w:ind w:left="3568" w:hanging="283"/>
      </w:pPr>
    </w:lvl>
    <w:lvl w:ilvl="4">
      <w:numFmt w:val="bullet"/>
      <w:lvlText w:val="•"/>
      <w:lvlJc w:val="left"/>
      <w:pPr>
        <w:ind w:left="5092" w:hanging="284"/>
      </w:pPr>
    </w:lvl>
    <w:lvl w:ilvl="5">
      <w:numFmt w:val="bullet"/>
      <w:lvlText w:val="•"/>
      <w:lvlJc w:val="left"/>
      <w:pPr>
        <w:ind w:left="6617" w:hanging="283"/>
      </w:pPr>
    </w:lvl>
    <w:lvl w:ilvl="6">
      <w:numFmt w:val="bullet"/>
      <w:lvlText w:val="•"/>
      <w:lvlJc w:val="left"/>
      <w:pPr>
        <w:ind w:left="8141" w:hanging="284"/>
      </w:pPr>
    </w:lvl>
    <w:lvl w:ilvl="7">
      <w:numFmt w:val="bullet"/>
      <w:lvlText w:val="•"/>
      <w:lvlJc w:val="left"/>
      <w:pPr>
        <w:ind w:left="9665" w:hanging="284"/>
      </w:pPr>
    </w:lvl>
    <w:lvl w:ilvl="8">
      <w:numFmt w:val="bullet"/>
      <w:lvlText w:val="•"/>
      <w:lvlJc w:val="left"/>
      <w:pPr>
        <w:ind w:left="11189" w:hanging="284"/>
      </w:pPr>
    </w:lvl>
  </w:abstractNum>
  <w:abstractNum w:abstractNumId="9">
    <w:nsid w:val="3B381A77"/>
    <w:multiLevelType w:val="multilevel"/>
    <w:tmpl w:val="F404DC5A"/>
    <w:lvl w:ilvl="0">
      <w:start w:val="1"/>
      <w:numFmt w:val="decimal"/>
      <w:lvlText w:val="%1."/>
      <w:lvlJc w:val="left"/>
      <w:pPr>
        <w:ind w:left="399" w:hanging="284"/>
      </w:pPr>
      <w:rPr>
        <w:rFonts w:ascii="Calibri" w:eastAsia="Calibri" w:hAnsi="Calibri" w:cs="Calibri"/>
        <w:b/>
        <w:sz w:val="22"/>
        <w:szCs w:val="22"/>
      </w:rPr>
    </w:lvl>
    <w:lvl w:ilvl="1">
      <w:numFmt w:val="bullet"/>
      <w:lvlText w:val="•"/>
      <w:lvlJc w:val="left"/>
      <w:pPr>
        <w:ind w:left="1783" w:hanging="284"/>
      </w:pPr>
    </w:lvl>
    <w:lvl w:ilvl="2">
      <w:numFmt w:val="bullet"/>
      <w:lvlText w:val="•"/>
      <w:lvlJc w:val="left"/>
      <w:pPr>
        <w:ind w:left="3167" w:hanging="284"/>
      </w:pPr>
    </w:lvl>
    <w:lvl w:ilvl="3">
      <w:numFmt w:val="bullet"/>
      <w:lvlText w:val="•"/>
      <w:lvlJc w:val="left"/>
      <w:pPr>
        <w:ind w:left="4551" w:hanging="284"/>
      </w:pPr>
    </w:lvl>
    <w:lvl w:ilvl="4">
      <w:numFmt w:val="bullet"/>
      <w:lvlText w:val="•"/>
      <w:lvlJc w:val="left"/>
      <w:pPr>
        <w:ind w:left="5935" w:hanging="284"/>
      </w:pPr>
    </w:lvl>
    <w:lvl w:ilvl="5">
      <w:numFmt w:val="bullet"/>
      <w:lvlText w:val="•"/>
      <w:lvlJc w:val="left"/>
      <w:pPr>
        <w:ind w:left="7319" w:hanging="284"/>
      </w:pPr>
    </w:lvl>
    <w:lvl w:ilvl="6">
      <w:numFmt w:val="bullet"/>
      <w:lvlText w:val="•"/>
      <w:lvlJc w:val="left"/>
      <w:pPr>
        <w:ind w:left="8703" w:hanging="284"/>
      </w:pPr>
    </w:lvl>
    <w:lvl w:ilvl="7">
      <w:numFmt w:val="bullet"/>
      <w:lvlText w:val="•"/>
      <w:lvlJc w:val="left"/>
      <w:pPr>
        <w:ind w:left="10086" w:hanging="284"/>
      </w:pPr>
    </w:lvl>
    <w:lvl w:ilvl="8">
      <w:numFmt w:val="bullet"/>
      <w:lvlText w:val="•"/>
      <w:lvlJc w:val="left"/>
      <w:pPr>
        <w:ind w:left="11470" w:hanging="284"/>
      </w:pPr>
    </w:lvl>
  </w:abstractNum>
  <w:abstractNum w:abstractNumId="10">
    <w:nsid w:val="55AC7ADA"/>
    <w:multiLevelType w:val="multilevel"/>
    <w:tmpl w:val="9BB4D6D4"/>
    <w:lvl w:ilvl="0">
      <w:start w:val="1"/>
      <w:numFmt w:val="decimal"/>
      <w:lvlText w:val="%1)"/>
      <w:lvlJc w:val="left"/>
      <w:pPr>
        <w:ind w:left="836" w:hanging="361"/>
      </w:pPr>
      <w:rPr>
        <w:rFonts w:ascii="Calibri" w:eastAsia="Calibri" w:hAnsi="Calibri" w:cs="Calibri"/>
        <w:b/>
        <w:sz w:val="22"/>
        <w:szCs w:val="22"/>
      </w:rPr>
    </w:lvl>
    <w:lvl w:ilvl="1">
      <w:numFmt w:val="bullet"/>
      <w:lvlText w:val="•"/>
      <w:lvlJc w:val="left"/>
      <w:pPr>
        <w:ind w:left="2179" w:hanging="361"/>
      </w:pPr>
    </w:lvl>
    <w:lvl w:ilvl="2">
      <w:numFmt w:val="bullet"/>
      <w:lvlText w:val="•"/>
      <w:lvlJc w:val="left"/>
      <w:pPr>
        <w:ind w:left="3519" w:hanging="361"/>
      </w:pPr>
    </w:lvl>
    <w:lvl w:ilvl="3">
      <w:numFmt w:val="bullet"/>
      <w:lvlText w:val="•"/>
      <w:lvlJc w:val="left"/>
      <w:pPr>
        <w:ind w:left="4859" w:hanging="361"/>
      </w:pPr>
    </w:lvl>
    <w:lvl w:ilvl="4">
      <w:numFmt w:val="bullet"/>
      <w:lvlText w:val="•"/>
      <w:lvlJc w:val="left"/>
      <w:pPr>
        <w:ind w:left="6199" w:hanging="361"/>
      </w:pPr>
    </w:lvl>
    <w:lvl w:ilvl="5">
      <w:numFmt w:val="bullet"/>
      <w:lvlText w:val="•"/>
      <w:lvlJc w:val="left"/>
      <w:pPr>
        <w:ind w:left="7539" w:hanging="361"/>
      </w:pPr>
    </w:lvl>
    <w:lvl w:ilvl="6">
      <w:numFmt w:val="bullet"/>
      <w:lvlText w:val="•"/>
      <w:lvlJc w:val="left"/>
      <w:pPr>
        <w:ind w:left="8879" w:hanging="361"/>
      </w:pPr>
    </w:lvl>
    <w:lvl w:ilvl="7">
      <w:numFmt w:val="bullet"/>
      <w:lvlText w:val="•"/>
      <w:lvlJc w:val="left"/>
      <w:pPr>
        <w:ind w:left="10218" w:hanging="361"/>
      </w:pPr>
    </w:lvl>
    <w:lvl w:ilvl="8">
      <w:numFmt w:val="bullet"/>
      <w:lvlText w:val="•"/>
      <w:lvlJc w:val="left"/>
      <w:pPr>
        <w:ind w:left="11558" w:hanging="361"/>
      </w:pPr>
    </w:lvl>
  </w:abstractNum>
  <w:abstractNum w:abstractNumId="11">
    <w:nsid w:val="55EA27F3"/>
    <w:multiLevelType w:val="multilevel"/>
    <w:tmpl w:val="9CEC79C8"/>
    <w:lvl w:ilvl="0">
      <w:start w:val="1"/>
      <w:numFmt w:val="decimal"/>
      <w:lvlText w:val="%1."/>
      <w:lvlJc w:val="left"/>
      <w:pPr>
        <w:ind w:left="399" w:hanging="284"/>
      </w:pPr>
      <w:rPr>
        <w:rFonts w:ascii="Calibri" w:eastAsia="Calibri" w:hAnsi="Calibri" w:cs="Calibri"/>
        <w:b/>
        <w:sz w:val="22"/>
        <w:szCs w:val="22"/>
      </w:rPr>
    </w:lvl>
    <w:lvl w:ilvl="1">
      <w:numFmt w:val="bullet"/>
      <w:lvlText w:val="-"/>
      <w:lvlJc w:val="left"/>
      <w:pPr>
        <w:ind w:left="399" w:hanging="183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3167" w:hanging="183"/>
      </w:pPr>
    </w:lvl>
    <w:lvl w:ilvl="3">
      <w:numFmt w:val="bullet"/>
      <w:lvlText w:val="•"/>
      <w:lvlJc w:val="left"/>
      <w:pPr>
        <w:ind w:left="4551" w:hanging="183"/>
      </w:pPr>
    </w:lvl>
    <w:lvl w:ilvl="4">
      <w:numFmt w:val="bullet"/>
      <w:lvlText w:val="•"/>
      <w:lvlJc w:val="left"/>
      <w:pPr>
        <w:ind w:left="5935" w:hanging="183"/>
      </w:pPr>
    </w:lvl>
    <w:lvl w:ilvl="5">
      <w:numFmt w:val="bullet"/>
      <w:lvlText w:val="•"/>
      <w:lvlJc w:val="left"/>
      <w:pPr>
        <w:ind w:left="7319" w:hanging="183"/>
      </w:pPr>
    </w:lvl>
    <w:lvl w:ilvl="6">
      <w:numFmt w:val="bullet"/>
      <w:lvlText w:val="•"/>
      <w:lvlJc w:val="left"/>
      <w:pPr>
        <w:ind w:left="8703" w:hanging="183"/>
      </w:pPr>
    </w:lvl>
    <w:lvl w:ilvl="7">
      <w:numFmt w:val="bullet"/>
      <w:lvlText w:val="•"/>
      <w:lvlJc w:val="left"/>
      <w:pPr>
        <w:ind w:left="10086" w:hanging="183"/>
      </w:pPr>
    </w:lvl>
    <w:lvl w:ilvl="8">
      <w:numFmt w:val="bullet"/>
      <w:lvlText w:val="•"/>
      <w:lvlJc w:val="left"/>
      <w:pPr>
        <w:ind w:left="11470" w:hanging="183"/>
      </w:pPr>
    </w:lvl>
  </w:abstractNum>
  <w:num w:numId="1">
    <w:abstractNumId w:val="11"/>
  </w:num>
  <w:num w:numId="2">
    <w:abstractNumId w:val="7"/>
  </w:num>
  <w:num w:numId="3">
    <w:abstractNumId w:val="8"/>
  </w:num>
  <w:num w:numId="4">
    <w:abstractNumId w:val="1"/>
  </w:num>
  <w:num w:numId="5">
    <w:abstractNumId w:val="10"/>
  </w:num>
  <w:num w:numId="6">
    <w:abstractNumId w:val="3"/>
  </w:num>
  <w:num w:numId="7">
    <w:abstractNumId w:val="6"/>
  </w:num>
  <w:num w:numId="8">
    <w:abstractNumId w:val="0"/>
  </w:num>
  <w:num w:numId="9">
    <w:abstractNumId w:val="9"/>
  </w:num>
  <w:num w:numId="10">
    <w:abstractNumId w:val="2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71939"/>
    <w:rsid w:val="00185CEA"/>
    <w:rsid w:val="00684248"/>
    <w:rsid w:val="0087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115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55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399"/>
    </w:pPr>
  </w:style>
  <w:style w:type="paragraph" w:styleId="Akapitzlist">
    <w:name w:val="List Paragraph"/>
    <w:basedOn w:val="Normalny"/>
    <w:uiPriority w:val="34"/>
    <w:qFormat/>
    <w:pPr>
      <w:ind w:left="399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B05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0567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B05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0567"/>
    <w:rPr>
      <w:rFonts w:ascii="Calibri" w:eastAsia="Calibri" w:hAnsi="Calibri" w:cs="Calibri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655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l-PL"/>
    </w:rPr>
  </w:style>
  <w:style w:type="paragraph" w:customStyle="1" w:styleId="Default">
    <w:name w:val="Default"/>
    <w:rsid w:val="007655B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15">
    <w:name w:val="Pa15"/>
    <w:basedOn w:val="Normalny"/>
    <w:next w:val="Normalny"/>
    <w:uiPriority w:val="99"/>
    <w:rsid w:val="007655BC"/>
    <w:pPr>
      <w:widowControl/>
      <w:adjustRightInd w:val="0"/>
      <w:spacing w:line="201" w:lineRule="atLeast"/>
    </w:pPr>
    <w:rPr>
      <w:rFonts w:ascii="Switzer Cnd TT EFN" w:eastAsiaTheme="minorHAnsi" w:hAnsi="Switzer Cnd TT EFN" w:cstheme="minorBidi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7655BC"/>
    <w:rPr>
      <w:color w:val="0000FF"/>
      <w:u w:val="single"/>
    </w:rPr>
  </w:style>
  <w:style w:type="paragraph" w:styleId="Bezodstpw">
    <w:name w:val="No Spacing"/>
    <w:uiPriority w:val="1"/>
    <w:qFormat/>
    <w:rsid w:val="005E1874"/>
  </w:style>
  <w:style w:type="character" w:styleId="Uwydatnienie">
    <w:name w:val="Emphasis"/>
    <w:basedOn w:val="Domylnaczcionkaakapitu"/>
    <w:uiPriority w:val="20"/>
    <w:qFormat/>
    <w:rsid w:val="00941F7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0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09D"/>
    <w:rPr>
      <w:rFonts w:ascii="Tahoma" w:eastAsia="Calibri" w:hAnsi="Tahoma" w:cs="Tahoma"/>
      <w:sz w:val="16"/>
      <w:szCs w:val="16"/>
      <w:lang w:val="pl-PL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115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55B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399"/>
    </w:pPr>
  </w:style>
  <w:style w:type="paragraph" w:styleId="Akapitzlist">
    <w:name w:val="List Paragraph"/>
    <w:basedOn w:val="Normalny"/>
    <w:uiPriority w:val="34"/>
    <w:qFormat/>
    <w:pPr>
      <w:ind w:left="399" w:hanging="284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B05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B0567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9B05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B0567"/>
    <w:rPr>
      <w:rFonts w:ascii="Calibri" w:eastAsia="Calibri" w:hAnsi="Calibri" w:cs="Calibri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655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l-PL"/>
    </w:rPr>
  </w:style>
  <w:style w:type="paragraph" w:customStyle="1" w:styleId="Default">
    <w:name w:val="Default"/>
    <w:rsid w:val="007655BC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15">
    <w:name w:val="Pa15"/>
    <w:basedOn w:val="Normalny"/>
    <w:next w:val="Normalny"/>
    <w:uiPriority w:val="99"/>
    <w:rsid w:val="007655BC"/>
    <w:pPr>
      <w:widowControl/>
      <w:adjustRightInd w:val="0"/>
      <w:spacing w:line="201" w:lineRule="atLeast"/>
    </w:pPr>
    <w:rPr>
      <w:rFonts w:ascii="Switzer Cnd TT EFN" w:eastAsiaTheme="minorHAnsi" w:hAnsi="Switzer Cnd TT EFN" w:cstheme="minorBidi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7655BC"/>
    <w:rPr>
      <w:color w:val="0000FF"/>
      <w:u w:val="single"/>
    </w:rPr>
  </w:style>
  <w:style w:type="paragraph" w:styleId="Bezodstpw">
    <w:name w:val="No Spacing"/>
    <w:uiPriority w:val="1"/>
    <w:qFormat/>
    <w:rsid w:val="005E1874"/>
  </w:style>
  <w:style w:type="character" w:styleId="Uwydatnienie">
    <w:name w:val="Emphasis"/>
    <w:basedOn w:val="Domylnaczcionkaakapitu"/>
    <w:uiPriority w:val="20"/>
    <w:qFormat/>
    <w:rsid w:val="00941F7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09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09D"/>
    <w:rPr>
      <w:rFonts w:ascii="Tahoma" w:eastAsia="Calibri" w:hAnsi="Tahoma" w:cs="Tahoma"/>
      <w:sz w:val="16"/>
      <w:szCs w:val="16"/>
      <w:lang w:val="pl-PL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NyI73Du13pmH7MeE9bhORQDtpA==">CgMxLjAaJAoBMBIfCh0IB0IZCgVBcmlhbBIQQXJpYWwgVW5pY29kZSBNUzIIaC5namRneHM4AHIhMUJ1N2ZWR2RPbWRmYWR1UUtJWGctNUhzWWhBY0hyMFNm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5234</Words>
  <Characters>31406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Ozimek</dc:creator>
  <cp:lastModifiedBy>Wincenty Chłowstowski</cp:lastModifiedBy>
  <cp:revision>2</cp:revision>
  <dcterms:created xsi:type="dcterms:W3CDTF">2024-09-27T19:27:00Z</dcterms:created>
  <dcterms:modified xsi:type="dcterms:W3CDTF">2024-09-27T19:27:00Z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2023-01-27T00:00:00Z</vt:lpwstr>
  </property>
  <property fmtid="{D5CDD505-2E9C-101B-9397-08002B2CF9AE}" pid="3" name="Creator">
    <vt:lpwstr>Microsoft® Word 2013</vt:lpwstr>
  </property>
  <property fmtid="{D5CDD505-2E9C-101B-9397-08002B2CF9AE}" pid="4" name="LastSaved">
    <vt:lpwstr>2024-02-21T00:00:00Z</vt:lpwstr>
  </property>
</Properties>
</file>